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A7B62" w14:textId="77777777" w:rsidR="00A160B2" w:rsidRDefault="00A160B2" w:rsidP="00A160B2">
      <w:pPr>
        <w:spacing w:after="480"/>
      </w:pPr>
      <w:r>
        <w:rPr>
          <w:rFonts w:ascii="Arial Black" w:hAnsi="Arial Black"/>
          <w:noProof/>
          <w:color w:val="999999"/>
          <w:sz w:val="36"/>
          <w:szCs w:val="36"/>
          <w:lang w:eastAsia="en-GB"/>
        </w:rPr>
        <w:drawing>
          <wp:inline distT="0" distB="0" distL="0" distR="0" wp14:anchorId="633373E7" wp14:editId="47F26233">
            <wp:extent cx="2009775" cy="495935"/>
            <wp:effectExtent l="0" t="0" r="9525" b="0"/>
            <wp:docPr id="4" name="Picture 4"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rrow Council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inline>
        </w:drawing>
      </w:r>
    </w:p>
    <w:tbl>
      <w:tblPr>
        <w:tblStyle w:val="Style1"/>
        <w:tblW w:w="0" w:type="auto"/>
        <w:tblLook w:val="0000" w:firstRow="0" w:lastRow="0" w:firstColumn="0" w:lastColumn="0" w:noHBand="0" w:noVBand="0"/>
        <w:tblCaption w:val="Cabinet report summary details"/>
      </w:tblPr>
      <w:tblGrid>
        <w:gridCol w:w="3397"/>
        <w:gridCol w:w="4912"/>
      </w:tblGrid>
      <w:tr w:rsidR="00A160B2" w14:paraId="3E9231EB" w14:textId="77777777" w:rsidTr="00A360D6">
        <w:trPr>
          <w:tblHeader/>
        </w:trPr>
        <w:tc>
          <w:tcPr>
            <w:tcW w:w="3397" w:type="dxa"/>
            <w:tcBorders>
              <w:bottom w:val="single" w:sz="18" w:space="0" w:color="auto"/>
            </w:tcBorders>
          </w:tcPr>
          <w:p w14:paraId="2EDC0AA9" w14:textId="77777777" w:rsidR="00A160B2" w:rsidRPr="00B805DB" w:rsidRDefault="00A160B2" w:rsidP="006C3150">
            <w:pPr>
              <w:pStyle w:val="Heading1"/>
              <w:spacing w:after="240"/>
              <w:outlineLvl w:val="0"/>
            </w:pPr>
            <w:r>
              <w:t>Report f</w:t>
            </w:r>
            <w:r w:rsidRPr="00C869F3">
              <w:t>or:</w:t>
            </w:r>
          </w:p>
        </w:tc>
        <w:tc>
          <w:tcPr>
            <w:tcW w:w="4912" w:type="dxa"/>
            <w:tcBorders>
              <w:bottom w:val="single" w:sz="18" w:space="0" w:color="auto"/>
            </w:tcBorders>
          </w:tcPr>
          <w:p w14:paraId="55A88F66" w14:textId="2F6F43CE" w:rsidR="00A160B2" w:rsidRPr="00A160B2" w:rsidRDefault="00CE4DD2" w:rsidP="00CE4DD2">
            <w:pPr>
              <w:pStyle w:val="Heading1"/>
              <w:outlineLvl w:val="0"/>
              <w:rPr>
                <w:color w:val="0000FF"/>
                <w:szCs w:val="24"/>
              </w:rPr>
            </w:pPr>
            <w:r>
              <w:t>Pension Board</w:t>
            </w:r>
            <w:r w:rsidR="00A160B2">
              <w:t xml:space="preserve"> </w:t>
            </w:r>
          </w:p>
        </w:tc>
      </w:tr>
      <w:tr w:rsidR="00A160B2" w14:paraId="5281F5A9" w14:textId="77777777" w:rsidTr="00A360D6">
        <w:tc>
          <w:tcPr>
            <w:tcW w:w="3397" w:type="dxa"/>
            <w:tcBorders>
              <w:top w:val="single" w:sz="18" w:space="0" w:color="auto"/>
            </w:tcBorders>
          </w:tcPr>
          <w:p w14:paraId="0991D380" w14:textId="77777777" w:rsidR="00A160B2" w:rsidRPr="00F92398" w:rsidRDefault="00A160B2" w:rsidP="006C3150">
            <w:pPr>
              <w:pStyle w:val="Infotext"/>
              <w:rPr>
                <w:rFonts w:ascii="Arial Black" w:hAnsi="Arial Black"/>
              </w:rPr>
            </w:pPr>
            <w:r w:rsidRPr="00F92398">
              <w:rPr>
                <w:rFonts w:ascii="Arial Black" w:hAnsi="Arial Black"/>
              </w:rPr>
              <w:t>Date</w:t>
            </w:r>
            <w:r>
              <w:rPr>
                <w:rFonts w:ascii="Arial Black" w:hAnsi="Arial Black"/>
              </w:rPr>
              <w:t xml:space="preserve"> of Meeting</w:t>
            </w:r>
            <w:r w:rsidRPr="00F92398">
              <w:rPr>
                <w:rFonts w:ascii="Arial Black" w:hAnsi="Arial Black"/>
              </w:rPr>
              <w:t>:</w:t>
            </w:r>
          </w:p>
          <w:p w14:paraId="3A6B81C9" w14:textId="77777777" w:rsidR="00A160B2" w:rsidRPr="00F92398" w:rsidRDefault="00A160B2" w:rsidP="006C3150">
            <w:pPr>
              <w:pStyle w:val="Infotext"/>
              <w:rPr>
                <w:rFonts w:ascii="Arial Black" w:hAnsi="Arial Black" w:cs="Arial"/>
              </w:rPr>
            </w:pPr>
          </w:p>
        </w:tc>
        <w:tc>
          <w:tcPr>
            <w:tcW w:w="4912" w:type="dxa"/>
            <w:tcBorders>
              <w:top w:val="single" w:sz="18" w:space="0" w:color="auto"/>
            </w:tcBorders>
          </w:tcPr>
          <w:p w14:paraId="495EBCE8" w14:textId="0BFAC67D" w:rsidR="00A160B2" w:rsidRDefault="00434D87" w:rsidP="006C3150">
            <w:pPr>
              <w:pStyle w:val="Infotext"/>
              <w:rPr>
                <w:rFonts w:cs="Arial"/>
              </w:rPr>
            </w:pPr>
            <w:r>
              <w:rPr>
                <w:rFonts w:cs="Arial"/>
              </w:rPr>
              <w:t>2 March 2023</w:t>
            </w:r>
          </w:p>
        </w:tc>
      </w:tr>
      <w:tr w:rsidR="00A160B2" w14:paraId="79B879D4" w14:textId="77777777" w:rsidTr="00A360D6">
        <w:tc>
          <w:tcPr>
            <w:tcW w:w="3397" w:type="dxa"/>
          </w:tcPr>
          <w:p w14:paraId="5EBA2504" w14:textId="77777777" w:rsidR="00A160B2" w:rsidRPr="00F92398" w:rsidRDefault="00A160B2" w:rsidP="006C3150">
            <w:pPr>
              <w:pStyle w:val="Infotext"/>
              <w:rPr>
                <w:rFonts w:ascii="Arial Black" w:hAnsi="Arial Black" w:cs="Arial"/>
              </w:rPr>
            </w:pPr>
            <w:r w:rsidRPr="00F92398">
              <w:rPr>
                <w:rFonts w:ascii="Arial Black" w:hAnsi="Arial Black" w:cs="Arial"/>
              </w:rPr>
              <w:t>Subject:</w:t>
            </w:r>
          </w:p>
          <w:p w14:paraId="262AF561" w14:textId="77777777" w:rsidR="00A160B2" w:rsidRPr="00F92398" w:rsidRDefault="00A160B2" w:rsidP="006C3150">
            <w:pPr>
              <w:pStyle w:val="Infotext"/>
              <w:rPr>
                <w:rFonts w:ascii="Arial Black" w:hAnsi="Arial Black"/>
              </w:rPr>
            </w:pPr>
          </w:p>
        </w:tc>
        <w:tc>
          <w:tcPr>
            <w:tcW w:w="4912" w:type="dxa"/>
          </w:tcPr>
          <w:p w14:paraId="2726CBDE" w14:textId="77777777" w:rsidR="00A160B2" w:rsidRDefault="0075166A" w:rsidP="00CE4DD2">
            <w:pPr>
              <w:pStyle w:val="Infotext"/>
              <w:rPr>
                <w:rFonts w:cs="Arial"/>
              </w:rPr>
            </w:pPr>
            <w:r>
              <w:rPr>
                <w:rFonts w:cs="Arial"/>
              </w:rPr>
              <w:t>Review of Pension Fund Committee Items</w:t>
            </w:r>
          </w:p>
          <w:p w14:paraId="5914456E" w14:textId="781A61CC" w:rsidR="006D4DBB" w:rsidRDefault="006D4DBB" w:rsidP="00CE4DD2">
            <w:pPr>
              <w:pStyle w:val="Infotext"/>
              <w:rPr>
                <w:rFonts w:cs="Arial"/>
              </w:rPr>
            </w:pPr>
          </w:p>
        </w:tc>
      </w:tr>
      <w:tr w:rsidR="00A160B2" w14:paraId="3A5E0F07" w14:textId="77777777" w:rsidTr="00A360D6">
        <w:tc>
          <w:tcPr>
            <w:tcW w:w="3397" w:type="dxa"/>
          </w:tcPr>
          <w:p w14:paraId="3526B74C" w14:textId="77777777" w:rsidR="00A160B2" w:rsidRPr="00F92398" w:rsidRDefault="00A160B2" w:rsidP="006C3150">
            <w:pPr>
              <w:pStyle w:val="Infotext"/>
              <w:rPr>
                <w:rFonts w:ascii="Arial Black" w:hAnsi="Arial Black" w:cs="Arial"/>
              </w:rPr>
            </w:pPr>
            <w:r w:rsidRPr="00F92398">
              <w:rPr>
                <w:rFonts w:ascii="Arial Black" w:hAnsi="Arial Black" w:cs="Arial"/>
              </w:rPr>
              <w:t>Responsible Officer:</w:t>
            </w:r>
          </w:p>
          <w:p w14:paraId="2952AD10" w14:textId="77777777" w:rsidR="00A160B2" w:rsidRPr="00F92398" w:rsidRDefault="00A160B2" w:rsidP="006C3150">
            <w:pPr>
              <w:pStyle w:val="Infotext"/>
              <w:rPr>
                <w:rFonts w:ascii="Arial Black" w:hAnsi="Arial Black" w:cs="Arial"/>
              </w:rPr>
            </w:pPr>
          </w:p>
        </w:tc>
        <w:tc>
          <w:tcPr>
            <w:tcW w:w="4912" w:type="dxa"/>
          </w:tcPr>
          <w:p w14:paraId="26673B97" w14:textId="77777777" w:rsidR="00A160B2" w:rsidRDefault="00CE4DD2" w:rsidP="00CE4DD2">
            <w:pPr>
              <w:pStyle w:val="Infotext"/>
              <w:rPr>
                <w:rFonts w:cs="Arial"/>
              </w:rPr>
            </w:pPr>
            <w:r>
              <w:rPr>
                <w:rFonts w:cs="Arial"/>
              </w:rPr>
              <w:t>Dawn Calvert – Director of Finance and Assurance</w:t>
            </w:r>
          </w:p>
          <w:p w14:paraId="3CF266C9" w14:textId="1667C7C3" w:rsidR="006D4DBB" w:rsidRDefault="006D4DBB" w:rsidP="00CE4DD2">
            <w:pPr>
              <w:pStyle w:val="Infotext"/>
              <w:rPr>
                <w:rFonts w:cs="Arial"/>
              </w:rPr>
            </w:pPr>
          </w:p>
        </w:tc>
      </w:tr>
      <w:tr w:rsidR="00A160B2" w14:paraId="7AFCAE74" w14:textId="77777777" w:rsidTr="00A360D6">
        <w:tc>
          <w:tcPr>
            <w:tcW w:w="3397" w:type="dxa"/>
          </w:tcPr>
          <w:p w14:paraId="4573497F" w14:textId="77777777" w:rsidR="00A160B2" w:rsidRPr="00F92398" w:rsidRDefault="00A160B2" w:rsidP="006C3150">
            <w:pPr>
              <w:pStyle w:val="Infotext"/>
              <w:rPr>
                <w:rFonts w:ascii="Arial Black" w:hAnsi="Arial Black" w:cs="Arial"/>
              </w:rPr>
            </w:pPr>
            <w:r w:rsidRPr="00F92398">
              <w:rPr>
                <w:rFonts w:ascii="Arial Black" w:hAnsi="Arial Black" w:cs="Arial"/>
              </w:rPr>
              <w:t>Exempt:</w:t>
            </w:r>
          </w:p>
          <w:p w14:paraId="72D771B0" w14:textId="77777777" w:rsidR="00A160B2" w:rsidRPr="00F92398" w:rsidRDefault="00A160B2" w:rsidP="006C3150">
            <w:pPr>
              <w:pStyle w:val="Infotext"/>
              <w:rPr>
                <w:rFonts w:ascii="Arial Black" w:hAnsi="Arial Black" w:cs="Arial"/>
              </w:rPr>
            </w:pPr>
          </w:p>
        </w:tc>
        <w:tc>
          <w:tcPr>
            <w:tcW w:w="4912" w:type="dxa"/>
          </w:tcPr>
          <w:p w14:paraId="74FCEEEF" w14:textId="7A5F4A6F" w:rsidR="00110A2F" w:rsidRPr="00E56213" w:rsidRDefault="00A5339D" w:rsidP="00110A2F">
            <w:pPr>
              <w:jc w:val="both"/>
              <w:rPr>
                <w:rFonts w:cs="Arial"/>
                <w:sz w:val="28"/>
                <w:szCs w:val="28"/>
              </w:rPr>
            </w:pPr>
            <w:r>
              <w:rPr>
                <w:rFonts w:cs="Arial"/>
                <w:sz w:val="28"/>
                <w:szCs w:val="28"/>
              </w:rPr>
              <w:t>No</w:t>
            </w:r>
          </w:p>
          <w:p w14:paraId="4C873B59" w14:textId="77777777" w:rsidR="00A160B2" w:rsidRDefault="00A160B2" w:rsidP="00CE4DD2">
            <w:pPr>
              <w:pStyle w:val="Infotext"/>
              <w:rPr>
                <w:rFonts w:cs="Arial"/>
              </w:rPr>
            </w:pPr>
          </w:p>
        </w:tc>
      </w:tr>
      <w:tr w:rsidR="00A160B2" w14:paraId="521D9222" w14:textId="77777777" w:rsidTr="00A360D6">
        <w:tc>
          <w:tcPr>
            <w:tcW w:w="3397" w:type="dxa"/>
          </w:tcPr>
          <w:p w14:paraId="4ABD9246" w14:textId="77777777" w:rsidR="00A160B2" w:rsidRDefault="00A160B2" w:rsidP="006C3150">
            <w:pPr>
              <w:pStyle w:val="Infotext"/>
              <w:rPr>
                <w:rFonts w:ascii="Arial Black" w:hAnsi="Arial Black" w:cs="Arial"/>
              </w:rPr>
            </w:pPr>
            <w:r>
              <w:rPr>
                <w:rFonts w:ascii="Arial Black" w:hAnsi="Arial Black" w:cs="Arial"/>
              </w:rPr>
              <w:t>Wards affected:</w:t>
            </w:r>
          </w:p>
          <w:p w14:paraId="65A16444" w14:textId="77777777" w:rsidR="00A160B2" w:rsidRPr="00F92398" w:rsidRDefault="00A160B2" w:rsidP="006C3150">
            <w:pPr>
              <w:pStyle w:val="Infotext"/>
              <w:rPr>
                <w:rFonts w:ascii="Arial Black" w:hAnsi="Arial Black" w:cs="Arial"/>
              </w:rPr>
            </w:pPr>
          </w:p>
        </w:tc>
        <w:tc>
          <w:tcPr>
            <w:tcW w:w="4912" w:type="dxa"/>
          </w:tcPr>
          <w:p w14:paraId="6CD568AC" w14:textId="24B98948" w:rsidR="00A160B2" w:rsidRPr="006D4DBB" w:rsidRDefault="004B5D7B" w:rsidP="006C3150">
            <w:pPr>
              <w:pStyle w:val="Infotext"/>
              <w:rPr>
                <w:bCs/>
              </w:rPr>
            </w:pPr>
            <w:r w:rsidRPr="006D4DBB">
              <w:rPr>
                <w:bCs/>
              </w:rPr>
              <w:t>Not applicable</w:t>
            </w:r>
          </w:p>
        </w:tc>
      </w:tr>
      <w:tr w:rsidR="00A160B2" w14:paraId="7C35C184" w14:textId="77777777" w:rsidTr="00A360D6">
        <w:tc>
          <w:tcPr>
            <w:tcW w:w="3397" w:type="dxa"/>
          </w:tcPr>
          <w:p w14:paraId="537C01BC" w14:textId="77777777" w:rsidR="00A160B2" w:rsidRPr="00F92398" w:rsidRDefault="00A160B2" w:rsidP="006C3150">
            <w:pPr>
              <w:pStyle w:val="Infotext"/>
              <w:rPr>
                <w:rFonts w:ascii="Arial Black" w:hAnsi="Arial Black" w:cs="Arial"/>
              </w:rPr>
            </w:pPr>
          </w:p>
          <w:p w14:paraId="575B6BE7" w14:textId="77777777" w:rsidR="00A160B2" w:rsidRPr="00F92398" w:rsidRDefault="00A160B2" w:rsidP="006C3150">
            <w:pPr>
              <w:pStyle w:val="Infotext"/>
              <w:rPr>
                <w:rFonts w:ascii="Arial Black" w:hAnsi="Arial Black" w:cs="Arial"/>
              </w:rPr>
            </w:pPr>
            <w:r w:rsidRPr="00F92398">
              <w:rPr>
                <w:rFonts w:ascii="Arial Black" w:hAnsi="Arial Black" w:cs="Arial"/>
              </w:rPr>
              <w:t>Enclosures:</w:t>
            </w:r>
          </w:p>
          <w:p w14:paraId="69475841" w14:textId="77777777" w:rsidR="00A160B2" w:rsidRPr="00F92398" w:rsidRDefault="00A160B2" w:rsidP="006C3150">
            <w:pPr>
              <w:pStyle w:val="Infotext"/>
              <w:rPr>
                <w:rFonts w:ascii="Arial Black" w:hAnsi="Arial Black" w:cs="Arial"/>
              </w:rPr>
            </w:pPr>
          </w:p>
        </w:tc>
        <w:tc>
          <w:tcPr>
            <w:tcW w:w="4912" w:type="dxa"/>
          </w:tcPr>
          <w:p w14:paraId="58E11CE4" w14:textId="77777777" w:rsidR="00CE4DD2" w:rsidRDefault="00CE4DD2" w:rsidP="006C3150">
            <w:pPr>
              <w:pStyle w:val="Infotext"/>
            </w:pPr>
          </w:p>
          <w:p w14:paraId="23A58528" w14:textId="67DD6E8C" w:rsidR="00A160B2" w:rsidRDefault="00933709" w:rsidP="006C3150">
            <w:pPr>
              <w:pStyle w:val="Infotext"/>
            </w:pPr>
            <w:r>
              <w:t xml:space="preserve">Appendix 1 – Pension Fund </w:t>
            </w:r>
            <w:r w:rsidR="008C156F">
              <w:t xml:space="preserve">Investment </w:t>
            </w:r>
            <w:r>
              <w:t>Valuation at 3</w:t>
            </w:r>
            <w:r w:rsidR="00434D87">
              <w:t>1 December</w:t>
            </w:r>
            <w:r w:rsidR="00AB54A5">
              <w:t xml:space="preserve"> 2022</w:t>
            </w:r>
          </w:p>
          <w:p w14:paraId="4C232B02" w14:textId="68A8B197" w:rsidR="0049221F" w:rsidRDefault="0049221F" w:rsidP="00A5339D">
            <w:pPr>
              <w:pStyle w:val="Infotext"/>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abinet report summary details"/>
      </w:tblPr>
      <w:tblGrid>
        <w:gridCol w:w="8309"/>
      </w:tblGrid>
      <w:tr w:rsidR="00A160B2" w14:paraId="332F8595" w14:textId="77777777" w:rsidTr="00A360D6">
        <w:trPr>
          <w:tblHeader/>
        </w:trPr>
        <w:tc>
          <w:tcPr>
            <w:tcW w:w="8309" w:type="dxa"/>
            <w:tcBorders>
              <w:top w:val="nil"/>
              <w:left w:val="nil"/>
              <w:bottom w:val="single" w:sz="4" w:space="0" w:color="auto"/>
              <w:right w:val="nil"/>
            </w:tcBorders>
          </w:tcPr>
          <w:p w14:paraId="47AF8288" w14:textId="77777777" w:rsidR="00A160B2" w:rsidRDefault="00A160B2" w:rsidP="00912904">
            <w:pPr>
              <w:pStyle w:val="Heading2"/>
              <w:spacing w:before="240" w:after="240"/>
            </w:pPr>
            <w:r>
              <w:t>Section 1 – Summary and Recommendations</w:t>
            </w:r>
          </w:p>
        </w:tc>
      </w:tr>
      <w:tr w:rsidR="00A160B2" w14:paraId="281F4D12" w14:textId="77777777" w:rsidTr="00A360D6">
        <w:trPr>
          <w:tblHeader/>
        </w:trPr>
        <w:tc>
          <w:tcPr>
            <w:tcW w:w="8309" w:type="dxa"/>
            <w:tcBorders>
              <w:left w:val="nil"/>
              <w:bottom w:val="nil"/>
              <w:right w:val="nil"/>
            </w:tcBorders>
          </w:tcPr>
          <w:p w14:paraId="3AE58E1E" w14:textId="34E6E0E1" w:rsidR="0075166A" w:rsidRPr="008658CB" w:rsidRDefault="0075166A" w:rsidP="0075166A">
            <w:r w:rsidRPr="008658CB">
              <w:t xml:space="preserve">This </w:t>
            </w:r>
            <w:r w:rsidRPr="00A154D4">
              <w:t xml:space="preserve">report </w:t>
            </w:r>
            <w:r>
              <w:t>summarises</w:t>
            </w:r>
            <w:r w:rsidRPr="00A154D4">
              <w:t xml:space="preserve"> the matters </w:t>
            </w:r>
            <w:r w:rsidR="00434D87">
              <w:t xml:space="preserve">to be </w:t>
            </w:r>
            <w:r w:rsidRPr="00A154D4">
              <w:t xml:space="preserve">considered by the Pension Fund Committee at </w:t>
            </w:r>
            <w:r>
              <w:t xml:space="preserve">its </w:t>
            </w:r>
            <w:r w:rsidR="00434D87">
              <w:t xml:space="preserve">forthcoming meeting on 29 March 2023 </w:t>
            </w:r>
            <w:r w:rsidR="00ED1007">
              <w:t xml:space="preserve">and </w:t>
            </w:r>
            <w:r w:rsidRPr="00A154D4">
              <w:t xml:space="preserve">invites the Board to agree any comments </w:t>
            </w:r>
            <w:r>
              <w:t>they</w:t>
            </w:r>
            <w:r w:rsidRPr="00A154D4">
              <w:t xml:space="preserve"> might wish to make to</w:t>
            </w:r>
            <w:r>
              <w:t xml:space="preserve"> the Pension Fund Committee.</w:t>
            </w:r>
          </w:p>
          <w:p w14:paraId="53358B31" w14:textId="77777777" w:rsidR="00A360D6" w:rsidRDefault="00A360D6" w:rsidP="00A160B2">
            <w:pPr>
              <w:rPr>
                <w:rFonts w:ascii="Arial Bold" w:hAnsi="Arial Bold"/>
                <w:b/>
                <w:sz w:val="28"/>
              </w:rPr>
            </w:pPr>
          </w:p>
          <w:p w14:paraId="4F9D0A08" w14:textId="77777777" w:rsidR="00A160B2" w:rsidRPr="00A160B2" w:rsidRDefault="00A160B2" w:rsidP="00A160B2">
            <w:pPr>
              <w:rPr>
                <w:rFonts w:ascii="Arial Bold" w:hAnsi="Arial Bold"/>
                <w:b/>
                <w:sz w:val="28"/>
              </w:rPr>
            </w:pPr>
            <w:r w:rsidRPr="00A160B2">
              <w:rPr>
                <w:rFonts w:ascii="Arial Bold" w:hAnsi="Arial Bold"/>
                <w:b/>
                <w:sz w:val="28"/>
              </w:rPr>
              <w:t xml:space="preserve">Recommendations: </w:t>
            </w:r>
          </w:p>
          <w:p w14:paraId="714CBDEE" w14:textId="3E883939" w:rsidR="00A160B2" w:rsidRDefault="0075166A" w:rsidP="00A160B2">
            <w:r>
              <w:t xml:space="preserve">The </w:t>
            </w:r>
            <w:r>
              <w:rPr>
                <w:rFonts w:cs="Arial"/>
                <w:szCs w:val="24"/>
              </w:rPr>
              <w:t>Board</w:t>
            </w:r>
            <w:r w:rsidRPr="0076456E">
              <w:rPr>
                <w:rFonts w:cs="Arial"/>
                <w:szCs w:val="24"/>
              </w:rPr>
              <w:t xml:space="preserve"> </w:t>
            </w:r>
            <w:r>
              <w:rPr>
                <w:rFonts w:cs="Arial"/>
                <w:szCs w:val="24"/>
              </w:rPr>
              <w:t>is requested to note the report and comment as necessary</w:t>
            </w:r>
            <w:r w:rsidR="00A360D6" w:rsidRPr="002D3381">
              <w:rPr>
                <w:szCs w:val="24"/>
              </w:rPr>
              <w:t>.</w:t>
            </w:r>
          </w:p>
        </w:tc>
      </w:tr>
    </w:tbl>
    <w:p w14:paraId="53DC7DE2" w14:textId="4895C731" w:rsidR="002A2389" w:rsidRDefault="002A2389" w:rsidP="00A160B2">
      <w:pPr>
        <w:pStyle w:val="Heading2"/>
      </w:pPr>
      <w:r>
        <w:t>Section 2 – Report</w:t>
      </w:r>
    </w:p>
    <w:p w14:paraId="350774EC" w14:textId="77777777" w:rsidR="00134517" w:rsidRPr="00134517" w:rsidRDefault="00134517" w:rsidP="00134517"/>
    <w:p w14:paraId="52A97305" w14:textId="49AE5B43" w:rsidR="00434D87" w:rsidRDefault="00C40270" w:rsidP="00AD3E1C">
      <w:pPr>
        <w:numPr>
          <w:ilvl w:val="0"/>
          <w:numId w:val="16"/>
        </w:numPr>
        <w:jc w:val="both"/>
      </w:pPr>
      <w:r>
        <w:t xml:space="preserve">The Pension Fund </w:t>
      </w:r>
      <w:r w:rsidR="00134517">
        <w:t>C</w:t>
      </w:r>
      <w:r>
        <w:t xml:space="preserve">ommittee </w:t>
      </w:r>
      <w:r w:rsidR="00434D87">
        <w:t>last met o</w:t>
      </w:r>
      <w:r w:rsidR="00134517">
        <w:t xml:space="preserve">n 23 November 2022. </w:t>
      </w:r>
      <w:r w:rsidR="00434D87">
        <w:t xml:space="preserve">The Board reviewed the items which the Committee considered at its meeting on 1 December 2022. </w:t>
      </w:r>
    </w:p>
    <w:p w14:paraId="40EFE804" w14:textId="77777777" w:rsidR="00434D87" w:rsidRDefault="00434D87" w:rsidP="00434D87">
      <w:pPr>
        <w:ind w:left="720"/>
        <w:jc w:val="both"/>
      </w:pPr>
    </w:p>
    <w:p w14:paraId="5784292B" w14:textId="00A5267F" w:rsidR="00C40270" w:rsidRDefault="00434D87" w:rsidP="00AD3E1C">
      <w:pPr>
        <w:numPr>
          <w:ilvl w:val="0"/>
          <w:numId w:val="16"/>
        </w:numPr>
        <w:jc w:val="both"/>
      </w:pPr>
      <w:r>
        <w:t>The Committee’s next meeting is on 29 March 2023</w:t>
      </w:r>
      <w:r w:rsidR="008C156F">
        <w:t xml:space="preserve">. The items to be considered </w:t>
      </w:r>
      <w:r>
        <w:t xml:space="preserve">are summarised in the table below. Several of the items are the subject of separate reports to be considered elsewhere on this agenda. </w:t>
      </w:r>
    </w:p>
    <w:p w14:paraId="75013F9F" w14:textId="77777777" w:rsidR="0004706A" w:rsidRDefault="0004706A" w:rsidP="0004706A">
      <w:pPr>
        <w:pStyle w:val="ListParagraph"/>
      </w:pPr>
    </w:p>
    <w:p w14:paraId="6146C4C2" w14:textId="0B2A5204" w:rsidR="00134517" w:rsidRDefault="0004706A" w:rsidP="00E544DB">
      <w:pPr>
        <w:numPr>
          <w:ilvl w:val="0"/>
          <w:numId w:val="16"/>
        </w:numPr>
        <w:jc w:val="both"/>
      </w:pPr>
      <w:r>
        <w:lastRenderedPageBreak/>
        <w:t xml:space="preserve">Before the meeting there will be a training session, led by the Fund’s Investment Consultants, Aon, </w:t>
      </w:r>
      <w:r w:rsidR="008C156F">
        <w:t>covering</w:t>
      </w:r>
      <w:r>
        <w:t xml:space="preserve"> strategic asset allocation. This will be used to remind Committee members of the key issues on this subject ahead of the review of the Fund’s investment strategy. As is customary, Board members will be invited to attend this training should they be able to do so.</w:t>
      </w:r>
    </w:p>
    <w:p w14:paraId="5A790D1D" w14:textId="77777777" w:rsidR="00134517" w:rsidRDefault="00134517" w:rsidP="00134517">
      <w:pPr>
        <w:ind w:left="720"/>
        <w:jc w:val="both"/>
      </w:pPr>
    </w:p>
    <w:p w14:paraId="02AFEE99" w14:textId="6BC34F74" w:rsidR="0075166A" w:rsidRPr="00ED1007" w:rsidRDefault="00434D87" w:rsidP="0075166A">
      <w:pPr>
        <w:numPr>
          <w:ilvl w:val="0"/>
          <w:numId w:val="16"/>
        </w:numPr>
        <w:jc w:val="both"/>
      </w:pPr>
      <w:r>
        <w:t>The current draft list of items for the Committee’s meeting on 29 March 2023 is as follows:</w:t>
      </w:r>
    </w:p>
    <w:p w14:paraId="32610839" w14:textId="15C46C85" w:rsidR="0075166A" w:rsidRDefault="0075166A" w:rsidP="0075166A">
      <w:pPr>
        <w:ind w:left="720"/>
        <w:rPr>
          <w:bCs/>
          <w:szCs w:val="24"/>
        </w:rPr>
      </w:pPr>
    </w:p>
    <w:tbl>
      <w:tblPr>
        <w:tblStyle w:val="TableGrid"/>
        <w:tblW w:w="0" w:type="auto"/>
        <w:tblInd w:w="720" w:type="dxa"/>
        <w:tblLook w:val="04A0" w:firstRow="1" w:lastRow="0" w:firstColumn="1" w:lastColumn="0" w:noHBand="0" w:noVBand="1"/>
      </w:tblPr>
      <w:tblGrid>
        <w:gridCol w:w="2961"/>
        <w:gridCol w:w="4618"/>
      </w:tblGrid>
      <w:tr w:rsidR="0075166A" w:rsidRPr="00ED1007" w14:paraId="41499451" w14:textId="77777777" w:rsidTr="00ED1007">
        <w:tc>
          <w:tcPr>
            <w:tcW w:w="2961" w:type="dxa"/>
            <w:shd w:val="clear" w:color="auto" w:fill="auto"/>
          </w:tcPr>
          <w:p w14:paraId="46D0EB4E" w14:textId="77777777" w:rsidR="0075166A" w:rsidRPr="00ED1007" w:rsidRDefault="0075166A" w:rsidP="00FC33FC">
            <w:pPr>
              <w:rPr>
                <w:b/>
                <w:szCs w:val="24"/>
              </w:rPr>
            </w:pPr>
            <w:r w:rsidRPr="00ED1007">
              <w:rPr>
                <w:b/>
                <w:szCs w:val="24"/>
              </w:rPr>
              <w:t>Report</w:t>
            </w:r>
          </w:p>
        </w:tc>
        <w:tc>
          <w:tcPr>
            <w:tcW w:w="4618" w:type="dxa"/>
            <w:shd w:val="clear" w:color="auto" w:fill="auto"/>
          </w:tcPr>
          <w:p w14:paraId="57DFD70B" w14:textId="77777777" w:rsidR="0075166A" w:rsidRPr="00ED1007" w:rsidRDefault="0075166A" w:rsidP="00FC33FC">
            <w:pPr>
              <w:rPr>
                <w:b/>
                <w:szCs w:val="24"/>
              </w:rPr>
            </w:pPr>
            <w:r w:rsidRPr="00ED1007">
              <w:rPr>
                <w:b/>
                <w:szCs w:val="24"/>
              </w:rPr>
              <w:t>Comments</w:t>
            </w:r>
          </w:p>
        </w:tc>
      </w:tr>
      <w:tr w:rsidR="0075166A" w:rsidRPr="00ED1007" w14:paraId="25073024" w14:textId="77777777" w:rsidTr="00ED1007">
        <w:tc>
          <w:tcPr>
            <w:tcW w:w="2961" w:type="dxa"/>
            <w:shd w:val="clear" w:color="auto" w:fill="auto"/>
          </w:tcPr>
          <w:p w14:paraId="3ECBC0AA" w14:textId="77777777" w:rsidR="0075166A" w:rsidRPr="00ED1007" w:rsidRDefault="0075166A" w:rsidP="00FC33FC">
            <w:pPr>
              <w:rPr>
                <w:b/>
                <w:szCs w:val="24"/>
              </w:rPr>
            </w:pPr>
            <w:r w:rsidRPr="00ED1007">
              <w:rPr>
                <w:b/>
                <w:szCs w:val="24"/>
              </w:rPr>
              <w:t>Part I</w:t>
            </w:r>
          </w:p>
        </w:tc>
        <w:tc>
          <w:tcPr>
            <w:tcW w:w="4618" w:type="dxa"/>
            <w:shd w:val="clear" w:color="auto" w:fill="auto"/>
          </w:tcPr>
          <w:p w14:paraId="29AB2069" w14:textId="77777777" w:rsidR="0075166A" w:rsidRPr="00ED1007" w:rsidRDefault="0075166A" w:rsidP="00FC33FC">
            <w:pPr>
              <w:rPr>
                <w:bCs/>
                <w:szCs w:val="24"/>
              </w:rPr>
            </w:pPr>
          </w:p>
        </w:tc>
      </w:tr>
      <w:tr w:rsidR="0075166A" w:rsidRPr="00ED1007" w14:paraId="16044C78" w14:textId="77777777" w:rsidTr="00FC33FC">
        <w:tc>
          <w:tcPr>
            <w:tcW w:w="2961" w:type="dxa"/>
          </w:tcPr>
          <w:p w14:paraId="360DDD1A" w14:textId="77777777" w:rsidR="0075166A" w:rsidRPr="00ED1007" w:rsidRDefault="0075166A" w:rsidP="00FC33FC">
            <w:pPr>
              <w:rPr>
                <w:bCs/>
                <w:szCs w:val="24"/>
              </w:rPr>
            </w:pPr>
            <w:r w:rsidRPr="00ED1007">
              <w:t>Performance Dashboard and Update on Regular items</w:t>
            </w:r>
          </w:p>
        </w:tc>
        <w:tc>
          <w:tcPr>
            <w:tcW w:w="4618" w:type="dxa"/>
          </w:tcPr>
          <w:p w14:paraId="79AA2BAF" w14:textId="5C37D5C6" w:rsidR="0075166A" w:rsidRPr="00ED1007" w:rsidRDefault="004B5D7B" w:rsidP="00FC33FC">
            <w:pPr>
              <w:rPr>
                <w:bCs/>
                <w:szCs w:val="24"/>
              </w:rPr>
            </w:pPr>
            <w:r w:rsidRPr="00ED1007">
              <w:rPr>
                <w:bCs/>
                <w:szCs w:val="24"/>
              </w:rPr>
              <w:t>The Committee</w:t>
            </w:r>
            <w:r w:rsidR="00A5339D" w:rsidRPr="00ED1007">
              <w:rPr>
                <w:bCs/>
                <w:szCs w:val="24"/>
              </w:rPr>
              <w:t xml:space="preserve"> </w:t>
            </w:r>
            <w:r w:rsidR="00C40270">
              <w:rPr>
                <w:bCs/>
                <w:szCs w:val="24"/>
              </w:rPr>
              <w:t xml:space="preserve">will review </w:t>
            </w:r>
            <w:r w:rsidR="0075166A" w:rsidRPr="00ED1007">
              <w:rPr>
                <w:bCs/>
                <w:szCs w:val="24"/>
              </w:rPr>
              <w:t xml:space="preserve">the position of the Fund at </w:t>
            </w:r>
            <w:r w:rsidR="00F1403C" w:rsidRPr="00ED1007">
              <w:rPr>
                <w:bCs/>
                <w:szCs w:val="24"/>
              </w:rPr>
              <w:t xml:space="preserve">the end of </w:t>
            </w:r>
            <w:r w:rsidR="00134517">
              <w:rPr>
                <w:bCs/>
                <w:szCs w:val="24"/>
              </w:rPr>
              <w:t>Q</w:t>
            </w:r>
            <w:r w:rsidR="00434D87">
              <w:rPr>
                <w:bCs/>
                <w:szCs w:val="24"/>
              </w:rPr>
              <w:t>4</w:t>
            </w:r>
            <w:r w:rsidR="00F1403C" w:rsidRPr="00ED1007">
              <w:rPr>
                <w:bCs/>
                <w:szCs w:val="24"/>
              </w:rPr>
              <w:t xml:space="preserve"> 202</w:t>
            </w:r>
            <w:r w:rsidR="00C40270">
              <w:rPr>
                <w:bCs/>
                <w:szCs w:val="24"/>
              </w:rPr>
              <w:t>2</w:t>
            </w:r>
            <w:r w:rsidR="00F1403C" w:rsidRPr="00ED1007">
              <w:rPr>
                <w:bCs/>
                <w:szCs w:val="24"/>
              </w:rPr>
              <w:t xml:space="preserve"> (</w:t>
            </w:r>
            <w:r w:rsidR="002A5BDC" w:rsidRPr="00ED1007">
              <w:rPr>
                <w:bCs/>
                <w:szCs w:val="24"/>
              </w:rPr>
              <w:t>3</w:t>
            </w:r>
            <w:r w:rsidR="00434D87">
              <w:rPr>
                <w:bCs/>
                <w:szCs w:val="24"/>
              </w:rPr>
              <w:t>1</w:t>
            </w:r>
            <w:r w:rsidR="002A5BDC" w:rsidRPr="00ED1007">
              <w:rPr>
                <w:bCs/>
                <w:szCs w:val="24"/>
              </w:rPr>
              <w:t xml:space="preserve"> </w:t>
            </w:r>
            <w:r w:rsidR="00434D87">
              <w:rPr>
                <w:bCs/>
                <w:szCs w:val="24"/>
              </w:rPr>
              <w:t>Dec</w:t>
            </w:r>
            <w:r w:rsidR="00134517">
              <w:rPr>
                <w:bCs/>
                <w:szCs w:val="24"/>
              </w:rPr>
              <w:t>ember</w:t>
            </w:r>
            <w:r w:rsidR="00C40270">
              <w:rPr>
                <w:bCs/>
                <w:szCs w:val="24"/>
              </w:rPr>
              <w:t xml:space="preserve"> 2022</w:t>
            </w:r>
            <w:r w:rsidR="00F1403C" w:rsidRPr="00ED1007">
              <w:rPr>
                <w:bCs/>
                <w:szCs w:val="24"/>
              </w:rPr>
              <w:t>)</w:t>
            </w:r>
            <w:r w:rsidR="003706EA">
              <w:rPr>
                <w:bCs/>
                <w:szCs w:val="24"/>
              </w:rPr>
              <w:t xml:space="preserve">, receive an update on things which have happened in the </w:t>
            </w:r>
            <w:r w:rsidR="00134517">
              <w:rPr>
                <w:bCs/>
                <w:szCs w:val="24"/>
              </w:rPr>
              <w:t>current</w:t>
            </w:r>
            <w:r w:rsidR="003706EA">
              <w:rPr>
                <w:bCs/>
                <w:szCs w:val="24"/>
              </w:rPr>
              <w:t xml:space="preserve"> quarter</w:t>
            </w:r>
            <w:r w:rsidR="00F1403C" w:rsidRPr="00ED1007">
              <w:rPr>
                <w:bCs/>
                <w:szCs w:val="24"/>
              </w:rPr>
              <w:t xml:space="preserve"> </w:t>
            </w:r>
            <w:r w:rsidR="0075166A" w:rsidRPr="00ED1007">
              <w:rPr>
                <w:bCs/>
                <w:szCs w:val="24"/>
              </w:rPr>
              <w:t xml:space="preserve">and </w:t>
            </w:r>
            <w:r w:rsidR="003706EA">
              <w:rPr>
                <w:bCs/>
                <w:szCs w:val="24"/>
              </w:rPr>
              <w:t>be asked to agree</w:t>
            </w:r>
            <w:r w:rsidRPr="00ED1007">
              <w:rPr>
                <w:bCs/>
                <w:szCs w:val="24"/>
              </w:rPr>
              <w:t xml:space="preserve"> a draft </w:t>
            </w:r>
            <w:r w:rsidR="0075166A" w:rsidRPr="00ED1007">
              <w:rPr>
                <w:bCs/>
                <w:szCs w:val="24"/>
              </w:rPr>
              <w:t>work programme for the Committee for the 202</w:t>
            </w:r>
            <w:r w:rsidR="00434D87">
              <w:rPr>
                <w:bCs/>
                <w:szCs w:val="24"/>
              </w:rPr>
              <w:t>3-24</w:t>
            </w:r>
            <w:r w:rsidR="00F1403C" w:rsidRPr="00ED1007">
              <w:rPr>
                <w:bCs/>
                <w:szCs w:val="24"/>
              </w:rPr>
              <w:t xml:space="preserve"> municipal </w:t>
            </w:r>
            <w:r w:rsidR="00777E2D" w:rsidRPr="00ED1007">
              <w:rPr>
                <w:bCs/>
                <w:szCs w:val="24"/>
              </w:rPr>
              <w:t>year.</w:t>
            </w:r>
            <w:r w:rsidR="0075166A" w:rsidRPr="00ED1007">
              <w:rPr>
                <w:bCs/>
                <w:szCs w:val="24"/>
              </w:rPr>
              <w:t xml:space="preserve"> </w:t>
            </w:r>
          </w:p>
          <w:p w14:paraId="072448AA" w14:textId="77777777" w:rsidR="0075166A" w:rsidRPr="00ED1007" w:rsidRDefault="0075166A" w:rsidP="004B5D7B">
            <w:pPr>
              <w:rPr>
                <w:bCs/>
                <w:szCs w:val="24"/>
              </w:rPr>
            </w:pPr>
          </w:p>
        </w:tc>
      </w:tr>
      <w:tr w:rsidR="00BA423E" w:rsidRPr="00ED1007" w14:paraId="22F4EAA7" w14:textId="77777777" w:rsidTr="00D365CC">
        <w:tc>
          <w:tcPr>
            <w:tcW w:w="2961" w:type="dxa"/>
          </w:tcPr>
          <w:p w14:paraId="1CB89077" w14:textId="017CFA3C" w:rsidR="00BA423E" w:rsidRDefault="00DE6259" w:rsidP="00FC33FC">
            <w:r>
              <w:t>2022 Triennial Valuation</w:t>
            </w:r>
            <w:r w:rsidR="003706EA">
              <w:t xml:space="preserve"> </w:t>
            </w:r>
          </w:p>
          <w:p w14:paraId="7D3DA046" w14:textId="7F09240A" w:rsidR="003706EA" w:rsidRPr="00ED1007" w:rsidRDefault="003706EA" w:rsidP="00FC33FC"/>
        </w:tc>
        <w:tc>
          <w:tcPr>
            <w:tcW w:w="4618" w:type="dxa"/>
            <w:shd w:val="clear" w:color="auto" w:fill="auto"/>
          </w:tcPr>
          <w:p w14:paraId="17C22FFA" w14:textId="77777777" w:rsidR="0004706A" w:rsidRDefault="00BA423E" w:rsidP="00FC33FC">
            <w:pPr>
              <w:rPr>
                <w:bCs/>
                <w:szCs w:val="24"/>
              </w:rPr>
            </w:pPr>
            <w:r w:rsidRPr="00ED1007">
              <w:rPr>
                <w:bCs/>
                <w:szCs w:val="24"/>
              </w:rPr>
              <w:t>T</w:t>
            </w:r>
            <w:r w:rsidR="003706EA">
              <w:rPr>
                <w:bCs/>
                <w:szCs w:val="24"/>
              </w:rPr>
              <w:t xml:space="preserve">he Committee will </w:t>
            </w:r>
            <w:r w:rsidR="00C340F4">
              <w:rPr>
                <w:bCs/>
                <w:szCs w:val="24"/>
              </w:rPr>
              <w:t xml:space="preserve">receive the Actuary’s final Report, including the Rates and </w:t>
            </w:r>
            <w:r w:rsidR="0004706A">
              <w:rPr>
                <w:bCs/>
                <w:szCs w:val="24"/>
              </w:rPr>
              <w:t>A</w:t>
            </w:r>
            <w:r w:rsidR="00C340F4">
              <w:rPr>
                <w:bCs/>
                <w:szCs w:val="24"/>
              </w:rPr>
              <w:t>djustments certificate</w:t>
            </w:r>
            <w:r w:rsidR="0004706A">
              <w:rPr>
                <w:bCs/>
                <w:szCs w:val="24"/>
              </w:rPr>
              <w:t xml:space="preserve">, and be asked to approve the </w:t>
            </w:r>
            <w:r w:rsidR="00DE6259">
              <w:rPr>
                <w:bCs/>
                <w:szCs w:val="24"/>
              </w:rPr>
              <w:t>Funding Strategy Statement</w:t>
            </w:r>
            <w:r w:rsidR="0004706A">
              <w:rPr>
                <w:bCs/>
                <w:szCs w:val="24"/>
              </w:rPr>
              <w:t>.</w:t>
            </w:r>
            <w:r w:rsidR="00DE6259">
              <w:rPr>
                <w:bCs/>
                <w:szCs w:val="24"/>
              </w:rPr>
              <w:t xml:space="preserve"> </w:t>
            </w:r>
          </w:p>
          <w:p w14:paraId="677334A7" w14:textId="77777777" w:rsidR="0004706A" w:rsidRDefault="0004706A" w:rsidP="00FC33FC">
            <w:pPr>
              <w:rPr>
                <w:bCs/>
                <w:szCs w:val="24"/>
              </w:rPr>
            </w:pPr>
          </w:p>
          <w:p w14:paraId="7A8044D3" w14:textId="68BB8FD9" w:rsidR="00BA423E" w:rsidRDefault="0004706A" w:rsidP="00FC33FC">
            <w:pPr>
              <w:rPr>
                <w:bCs/>
                <w:szCs w:val="24"/>
              </w:rPr>
            </w:pPr>
            <w:r>
              <w:rPr>
                <w:bCs/>
                <w:szCs w:val="24"/>
              </w:rPr>
              <w:t>This item is to be considered</w:t>
            </w:r>
            <w:r w:rsidR="00DE6259">
              <w:rPr>
                <w:bCs/>
                <w:szCs w:val="24"/>
              </w:rPr>
              <w:t xml:space="preserve"> elsewhere on this agenda</w:t>
            </w:r>
            <w:r>
              <w:rPr>
                <w:bCs/>
                <w:szCs w:val="24"/>
              </w:rPr>
              <w:t xml:space="preserve">, and the Fund’s actuary will attend </w:t>
            </w:r>
            <w:r w:rsidR="008C156F">
              <w:rPr>
                <w:bCs/>
                <w:szCs w:val="24"/>
              </w:rPr>
              <w:t xml:space="preserve">and present to </w:t>
            </w:r>
            <w:r>
              <w:rPr>
                <w:bCs/>
                <w:szCs w:val="24"/>
              </w:rPr>
              <w:t>this meeting.</w:t>
            </w:r>
            <w:r w:rsidR="00ED1007">
              <w:rPr>
                <w:bCs/>
                <w:szCs w:val="24"/>
              </w:rPr>
              <w:t xml:space="preserve"> </w:t>
            </w:r>
          </w:p>
          <w:p w14:paraId="403A9863" w14:textId="7B2FF96A" w:rsidR="003706EA" w:rsidRPr="00ED1007" w:rsidRDefault="003706EA" w:rsidP="00FC33FC">
            <w:pPr>
              <w:rPr>
                <w:bCs/>
                <w:szCs w:val="24"/>
              </w:rPr>
            </w:pPr>
          </w:p>
        </w:tc>
      </w:tr>
      <w:tr w:rsidR="00DE6259" w:rsidRPr="00ED1007" w14:paraId="046C410C" w14:textId="77777777" w:rsidTr="00D365CC">
        <w:tc>
          <w:tcPr>
            <w:tcW w:w="2961" w:type="dxa"/>
          </w:tcPr>
          <w:p w14:paraId="17A71D2D" w14:textId="7A4DAA52" w:rsidR="00DE6259" w:rsidRDefault="00DE6259" w:rsidP="00DE6259">
            <w:r>
              <w:t xml:space="preserve">Responsible Investment </w:t>
            </w:r>
            <w:r w:rsidR="0004706A">
              <w:t xml:space="preserve">(RI) </w:t>
            </w:r>
            <w:r>
              <w:t>Policy</w:t>
            </w:r>
          </w:p>
          <w:p w14:paraId="5B713286" w14:textId="0662CEE0" w:rsidR="00DE6259" w:rsidRDefault="00DE6259" w:rsidP="00DE6259"/>
        </w:tc>
        <w:tc>
          <w:tcPr>
            <w:tcW w:w="4618" w:type="dxa"/>
            <w:shd w:val="clear" w:color="auto" w:fill="auto"/>
          </w:tcPr>
          <w:p w14:paraId="48A88BBC" w14:textId="2DB74B9A" w:rsidR="00DE6259" w:rsidRDefault="00DE6259" w:rsidP="00FC33FC">
            <w:pPr>
              <w:rPr>
                <w:bCs/>
                <w:szCs w:val="24"/>
              </w:rPr>
            </w:pPr>
            <w:r>
              <w:rPr>
                <w:bCs/>
                <w:szCs w:val="24"/>
              </w:rPr>
              <w:t xml:space="preserve">The Committee will be asked to </w:t>
            </w:r>
            <w:r w:rsidR="0004706A">
              <w:rPr>
                <w:bCs/>
                <w:szCs w:val="24"/>
              </w:rPr>
              <w:t xml:space="preserve">approve </w:t>
            </w:r>
            <w:r>
              <w:rPr>
                <w:bCs/>
                <w:szCs w:val="24"/>
              </w:rPr>
              <w:t>a RI Policy</w:t>
            </w:r>
            <w:r w:rsidR="0004706A">
              <w:rPr>
                <w:bCs/>
                <w:szCs w:val="24"/>
              </w:rPr>
              <w:t>, together with consequential amendments to the Investment Strategy Statement.</w:t>
            </w:r>
          </w:p>
          <w:p w14:paraId="02D47039" w14:textId="77777777" w:rsidR="0004706A" w:rsidRDefault="0004706A" w:rsidP="00FC33FC">
            <w:pPr>
              <w:rPr>
                <w:bCs/>
                <w:szCs w:val="24"/>
              </w:rPr>
            </w:pPr>
          </w:p>
          <w:p w14:paraId="3FD72121" w14:textId="2F29BCE3" w:rsidR="0004706A" w:rsidRDefault="0004706A" w:rsidP="00FC33FC">
            <w:pPr>
              <w:rPr>
                <w:bCs/>
                <w:szCs w:val="24"/>
              </w:rPr>
            </w:pPr>
            <w:r>
              <w:rPr>
                <w:bCs/>
                <w:szCs w:val="24"/>
              </w:rPr>
              <w:t>This item is to be considered elsewhere on this agenda, providing an opportunity for the Board to comment on the draft</w:t>
            </w:r>
            <w:r w:rsidR="007F0CF1">
              <w:rPr>
                <w:bCs/>
                <w:szCs w:val="24"/>
              </w:rPr>
              <w:t xml:space="preserve"> Policy</w:t>
            </w:r>
            <w:r>
              <w:rPr>
                <w:bCs/>
                <w:szCs w:val="24"/>
              </w:rPr>
              <w:t>.</w:t>
            </w:r>
          </w:p>
          <w:p w14:paraId="20AC1347" w14:textId="0505854A" w:rsidR="0004706A" w:rsidRPr="00ED1007" w:rsidRDefault="0004706A" w:rsidP="00FC33FC">
            <w:pPr>
              <w:rPr>
                <w:bCs/>
                <w:szCs w:val="24"/>
              </w:rPr>
            </w:pPr>
          </w:p>
        </w:tc>
      </w:tr>
      <w:tr w:rsidR="002A5BDC" w:rsidRPr="00ED1007" w14:paraId="356D1E0D" w14:textId="77777777" w:rsidTr="00FC33FC">
        <w:tc>
          <w:tcPr>
            <w:tcW w:w="2961" w:type="dxa"/>
          </w:tcPr>
          <w:p w14:paraId="3DF65F9A" w14:textId="77777777" w:rsidR="002A5BDC" w:rsidRPr="00ED1007" w:rsidRDefault="002A5BDC" w:rsidP="002A5BDC">
            <w:pPr>
              <w:rPr>
                <w:b/>
                <w:szCs w:val="24"/>
              </w:rPr>
            </w:pPr>
            <w:r w:rsidRPr="00ED1007">
              <w:rPr>
                <w:b/>
                <w:szCs w:val="24"/>
              </w:rPr>
              <w:t>Part II</w:t>
            </w:r>
          </w:p>
        </w:tc>
        <w:tc>
          <w:tcPr>
            <w:tcW w:w="4618" w:type="dxa"/>
          </w:tcPr>
          <w:p w14:paraId="2FBE5FC7" w14:textId="77777777" w:rsidR="002A5BDC" w:rsidRPr="00ED1007" w:rsidRDefault="002A5BDC" w:rsidP="002A5BDC">
            <w:pPr>
              <w:rPr>
                <w:bCs/>
                <w:szCs w:val="24"/>
              </w:rPr>
            </w:pPr>
          </w:p>
        </w:tc>
      </w:tr>
      <w:tr w:rsidR="00DE6259" w:rsidRPr="00ED1007" w14:paraId="01F6745A" w14:textId="77777777" w:rsidTr="00FC33FC">
        <w:tc>
          <w:tcPr>
            <w:tcW w:w="2961" w:type="dxa"/>
          </w:tcPr>
          <w:p w14:paraId="62C7FD99" w14:textId="77777777" w:rsidR="00DE6259" w:rsidRDefault="00DE6259" w:rsidP="00DE6259">
            <w:r w:rsidRPr="00ED1007">
              <w:t>Performance Dashboard and Update on Regular items</w:t>
            </w:r>
          </w:p>
          <w:p w14:paraId="4F7A3421" w14:textId="0B8AB17F" w:rsidR="00DE6259" w:rsidRPr="00ED1007" w:rsidRDefault="00DE6259" w:rsidP="00DE6259">
            <w:pPr>
              <w:rPr>
                <w:bCs/>
                <w:szCs w:val="24"/>
              </w:rPr>
            </w:pPr>
          </w:p>
        </w:tc>
        <w:tc>
          <w:tcPr>
            <w:tcW w:w="4618" w:type="dxa"/>
          </w:tcPr>
          <w:p w14:paraId="3C5DD905" w14:textId="04D6C314" w:rsidR="00DE6259" w:rsidRDefault="00DE6259" w:rsidP="00DE6259">
            <w:pPr>
              <w:rPr>
                <w:szCs w:val="24"/>
              </w:rPr>
            </w:pPr>
            <w:r>
              <w:rPr>
                <w:szCs w:val="24"/>
              </w:rPr>
              <w:t xml:space="preserve">The Committee will consider comments / reports </w:t>
            </w:r>
            <w:r w:rsidR="0004706A">
              <w:rPr>
                <w:szCs w:val="24"/>
              </w:rPr>
              <w:t xml:space="preserve">from the Investment Consultant and an Independent Advisor </w:t>
            </w:r>
            <w:r>
              <w:rPr>
                <w:szCs w:val="24"/>
              </w:rPr>
              <w:t xml:space="preserve">on investment managers’ performance. </w:t>
            </w:r>
          </w:p>
          <w:p w14:paraId="1D886CD8" w14:textId="77777777" w:rsidR="00DE6259" w:rsidRDefault="00DE6259" w:rsidP="00DE6259">
            <w:pPr>
              <w:rPr>
                <w:szCs w:val="24"/>
              </w:rPr>
            </w:pPr>
            <w:r w:rsidRPr="00ED1007">
              <w:rPr>
                <w:szCs w:val="24"/>
              </w:rPr>
              <w:t>The</w:t>
            </w:r>
            <w:r w:rsidR="0004706A">
              <w:rPr>
                <w:szCs w:val="24"/>
              </w:rPr>
              <w:t>se</w:t>
            </w:r>
            <w:r w:rsidRPr="00ED1007">
              <w:rPr>
                <w:szCs w:val="24"/>
              </w:rPr>
              <w:t xml:space="preserve"> report</w:t>
            </w:r>
            <w:r w:rsidR="0004706A">
              <w:rPr>
                <w:szCs w:val="24"/>
              </w:rPr>
              <w:t>s</w:t>
            </w:r>
            <w:r w:rsidRPr="00ED1007">
              <w:rPr>
                <w:szCs w:val="24"/>
              </w:rPr>
              <w:t xml:space="preserve"> </w:t>
            </w:r>
            <w:r>
              <w:rPr>
                <w:szCs w:val="24"/>
              </w:rPr>
              <w:t xml:space="preserve">will be considered </w:t>
            </w:r>
            <w:r w:rsidRPr="00ED1007">
              <w:rPr>
                <w:szCs w:val="24"/>
              </w:rPr>
              <w:t xml:space="preserve">in part </w:t>
            </w:r>
            <w:r>
              <w:rPr>
                <w:szCs w:val="24"/>
              </w:rPr>
              <w:t>II</w:t>
            </w:r>
            <w:r w:rsidRPr="00ED1007">
              <w:rPr>
                <w:szCs w:val="24"/>
              </w:rPr>
              <w:t xml:space="preserve"> </w:t>
            </w:r>
            <w:r>
              <w:rPr>
                <w:szCs w:val="24"/>
              </w:rPr>
              <w:t>because of the sensitive nature of investment decisions.</w:t>
            </w:r>
          </w:p>
          <w:p w14:paraId="1E2EBC31" w14:textId="7E8A5FC1" w:rsidR="008C156F" w:rsidRPr="00DE6259" w:rsidRDefault="008C156F" w:rsidP="00DE6259">
            <w:pPr>
              <w:rPr>
                <w:szCs w:val="24"/>
              </w:rPr>
            </w:pPr>
          </w:p>
        </w:tc>
      </w:tr>
      <w:tr w:rsidR="00DE6259" w:rsidRPr="00ED1007" w14:paraId="1199F105" w14:textId="77777777" w:rsidTr="00FC33FC">
        <w:tc>
          <w:tcPr>
            <w:tcW w:w="2961" w:type="dxa"/>
          </w:tcPr>
          <w:p w14:paraId="2FD39F7E" w14:textId="3E4C6AA1" w:rsidR="00DE6259" w:rsidRPr="00ED1007" w:rsidRDefault="00DE6259" w:rsidP="00DE6259">
            <w:pPr>
              <w:rPr>
                <w:bCs/>
                <w:szCs w:val="24"/>
              </w:rPr>
            </w:pPr>
            <w:r w:rsidRPr="00ED1007">
              <w:rPr>
                <w:bCs/>
                <w:szCs w:val="24"/>
              </w:rPr>
              <w:t xml:space="preserve">Review of </w:t>
            </w:r>
            <w:r>
              <w:rPr>
                <w:bCs/>
                <w:szCs w:val="24"/>
              </w:rPr>
              <w:t xml:space="preserve">Property Investments (LaSalle Fund of Funds) </w:t>
            </w:r>
            <w:r w:rsidRPr="00ED1007">
              <w:rPr>
                <w:bCs/>
                <w:szCs w:val="24"/>
              </w:rPr>
              <w:t xml:space="preserve"> </w:t>
            </w:r>
          </w:p>
        </w:tc>
        <w:tc>
          <w:tcPr>
            <w:tcW w:w="4618" w:type="dxa"/>
          </w:tcPr>
          <w:p w14:paraId="5EB6A62E" w14:textId="3E068E3D" w:rsidR="00DE6259" w:rsidRDefault="00DE6259" w:rsidP="00DE6259">
            <w:pPr>
              <w:rPr>
                <w:szCs w:val="24"/>
              </w:rPr>
            </w:pPr>
            <w:r>
              <w:rPr>
                <w:szCs w:val="24"/>
              </w:rPr>
              <w:t xml:space="preserve">The Committee will receive an update report on progress since the last meeting. </w:t>
            </w:r>
          </w:p>
          <w:p w14:paraId="649A6177" w14:textId="5ADA531A" w:rsidR="00DE6259" w:rsidRPr="00ED1007" w:rsidRDefault="00DE6259" w:rsidP="00DE6259">
            <w:pPr>
              <w:rPr>
                <w:szCs w:val="24"/>
              </w:rPr>
            </w:pPr>
            <w:r w:rsidRPr="00ED1007">
              <w:rPr>
                <w:szCs w:val="24"/>
              </w:rPr>
              <w:lastRenderedPageBreak/>
              <w:t xml:space="preserve">The report </w:t>
            </w:r>
            <w:r>
              <w:rPr>
                <w:szCs w:val="24"/>
              </w:rPr>
              <w:t xml:space="preserve">will be considered </w:t>
            </w:r>
            <w:r w:rsidRPr="00ED1007">
              <w:rPr>
                <w:szCs w:val="24"/>
              </w:rPr>
              <w:t xml:space="preserve">in part </w:t>
            </w:r>
            <w:r>
              <w:rPr>
                <w:szCs w:val="24"/>
              </w:rPr>
              <w:t>II</w:t>
            </w:r>
            <w:r w:rsidRPr="00ED1007">
              <w:rPr>
                <w:szCs w:val="24"/>
              </w:rPr>
              <w:t xml:space="preserve"> </w:t>
            </w:r>
            <w:r>
              <w:rPr>
                <w:szCs w:val="24"/>
              </w:rPr>
              <w:t xml:space="preserve">because of the sensitive nature of investment decisions. </w:t>
            </w:r>
          </w:p>
        </w:tc>
      </w:tr>
      <w:tr w:rsidR="0004706A" w:rsidRPr="00ED1007" w14:paraId="6BACB04A" w14:textId="77777777" w:rsidTr="00FC33FC">
        <w:tc>
          <w:tcPr>
            <w:tcW w:w="2961" w:type="dxa"/>
          </w:tcPr>
          <w:p w14:paraId="5D67287A" w14:textId="19434869" w:rsidR="0004706A" w:rsidRPr="00ED1007" w:rsidRDefault="0004706A" w:rsidP="00DE6259">
            <w:pPr>
              <w:rPr>
                <w:bCs/>
                <w:szCs w:val="24"/>
              </w:rPr>
            </w:pPr>
            <w:r>
              <w:rPr>
                <w:bCs/>
                <w:szCs w:val="24"/>
              </w:rPr>
              <w:lastRenderedPageBreak/>
              <w:t xml:space="preserve">Review of Investment Strategy </w:t>
            </w:r>
          </w:p>
        </w:tc>
        <w:tc>
          <w:tcPr>
            <w:tcW w:w="4618" w:type="dxa"/>
          </w:tcPr>
          <w:p w14:paraId="7CCC77F1" w14:textId="798D07F5" w:rsidR="0004706A" w:rsidRDefault="0004706A" w:rsidP="00DE6259">
            <w:pPr>
              <w:rPr>
                <w:szCs w:val="24"/>
              </w:rPr>
            </w:pPr>
            <w:r>
              <w:rPr>
                <w:szCs w:val="24"/>
              </w:rPr>
              <w:t xml:space="preserve">Following the Triennial </w:t>
            </w:r>
            <w:r w:rsidR="006D4DBB">
              <w:rPr>
                <w:szCs w:val="24"/>
              </w:rPr>
              <w:t>Valuation,</w:t>
            </w:r>
            <w:r>
              <w:rPr>
                <w:szCs w:val="24"/>
              </w:rPr>
              <w:t xml:space="preserve"> it is best practice to consider whether the Fund’s Investment strategy and asset allocation remain appropriate. This report will be the start of that process and will be considered </w:t>
            </w:r>
            <w:r w:rsidRPr="00ED1007">
              <w:rPr>
                <w:szCs w:val="24"/>
              </w:rPr>
              <w:t xml:space="preserve">in part </w:t>
            </w:r>
            <w:r>
              <w:rPr>
                <w:szCs w:val="24"/>
              </w:rPr>
              <w:t>II</w:t>
            </w:r>
            <w:r w:rsidRPr="00ED1007">
              <w:rPr>
                <w:szCs w:val="24"/>
              </w:rPr>
              <w:t xml:space="preserve"> </w:t>
            </w:r>
            <w:r>
              <w:rPr>
                <w:szCs w:val="24"/>
              </w:rPr>
              <w:t>because of the sensitive nature of investment decisions.</w:t>
            </w:r>
          </w:p>
          <w:p w14:paraId="5988AEF4" w14:textId="588B8DD1" w:rsidR="008C156F" w:rsidRDefault="008C156F" w:rsidP="00DE6259">
            <w:pPr>
              <w:rPr>
                <w:szCs w:val="24"/>
              </w:rPr>
            </w:pPr>
          </w:p>
        </w:tc>
      </w:tr>
      <w:tr w:rsidR="0004706A" w:rsidRPr="00ED1007" w14:paraId="50365056" w14:textId="77777777" w:rsidTr="00FC33FC">
        <w:tc>
          <w:tcPr>
            <w:tcW w:w="2961" w:type="dxa"/>
          </w:tcPr>
          <w:p w14:paraId="0F3670A9" w14:textId="60F92318" w:rsidR="0004706A" w:rsidRPr="00ED1007" w:rsidRDefault="0004706A" w:rsidP="00DE6259">
            <w:pPr>
              <w:rPr>
                <w:bCs/>
                <w:szCs w:val="24"/>
              </w:rPr>
            </w:pPr>
            <w:r>
              <w:rPr>
                <w:bCs/>
                <w:szCs w:val="24"/>
              </w:rPr>
              <w:t>Contract for Actuarial Services – procurement arrangements.</w:t>
            </w:r>
          </w:p>
        </w:tc>
        <w:tc>
          <w:tcPr>
            <w:tcW w:w="4618" w:type="dxa"/>
          </w:tcPr>
          <w:p w14:paraId="015A42EE" w14:textId="77777777" w:rsidR="0004706A" w:rsidRDefault="0004706A" w:rsidP="00DE6259">
            <w:pPr>
              <w:rPr>
                <w:szCs w:val="24"/>
              </w:rPr>
            </w:pPr>
            <w:r>
              <w:rPr>
                <w:szCs w:val="24"/>
              </w:rPr>
              <w:t xml:space="preserve">The current contract with Hymans Robertson expires in September 2023. This will </w:t>
            </w:r>
            <w:r w:rsidR="00E020CD">
              <w:rPr>
                <w:szCs w:val="24"/>
              </w:rPr>
              <w:t>start the process to put a new contract in place.</w:t>
            </w:r>
          </w:p>
          <w:p w14:paraId="368CBCDE" w14:textId="4B2263C4" w:rsidR="008C156F" w:rsidRDefault="008C156F" w:rsidP="00DE6259">
            <w:pPr>
              <w:rPr>
                <w:szCs w:val="24"/>
              </w:rPr>
            </w:pPr>
          </w:p>
        </w:tc>
      </w:tr>
      <w:tr w:rsidR="0004706A" w:rsidRPr="00ED1007" w14:paraId="007D2062" w14:textId="77777777" w:rsidTr="00FC33FC">
        <w:tc>
          <w:tcPr>
            <w:tcW w:w="2961" w:type="dxa"/>
          </w:tcPr>
          <w:p w14:paraId="0C6CA148" w14:textId="156D92B4" w:rsidR="0004706A" w:rsidRPr="00ED1007" w:rsidRDefault="00E020CD" w:rsidP="00DE6259">
            <w:pPr>
              <w:rPr>
                <w:bCs/>
                <w:szCs w:val="24"/>
              </w:rPr>
            </w:pPr>
            <w:r>
              <w:rPr>
                <w:bCs/>
                <w:szCs w:val="24"/>
              </w:rPr>
              <w:t xml:space="preserve">Contract for Investment Consultancy services </w:t>
            </w:r>
          </w:p>
        </w:tc>
        <w:tc>
          <w:tcPr>
            <w:tcW w:w="4618" w:type="dxa"/>
          </w:tcPr>
          <w:p w14:paraId="17A1A0F6" w14:textId="77777777" w:rsidR="0004706A" w:rsidRDefault="00E020CD" w:rsidP="00DE6259">
            <w:pPr>
              <w:rPr>
                <w:szCs w:val="24"/>
              </w:rPr>
            </w:pPr>
            <w:r>
              <w:rPr>
                <w:szCs w:val="24"/>
              </w:rPr>
              <w:t>The current contract with Aon expires in January 2024. This will start the process to put a new contract in place.</w:t>
            </w:r>
          </w:p>
          <w:p w14:paraId="3E73EDF8" w14:textId="7EC64713" w:rsidR="008C156F" w:rsidRDefault="008C156F" w:rsidP="00DE6259">
            <w:pPr>
              <w:rPr>
                <w:szCs w:val="24"/>
              </w:rPr>
            </w:pPr>
          </w:p>
        </w:tc>
      </w:tr>
    </w:tbl>
    <w:p w14:paraId="383BD210" w14:textId="77777777" w:rsidR="0075166A" w:rsidRPr="00ED1007" w:rsidRDefault="0075166A" w:rsidP="0075166A">
      <w:pPr>
        <w:ind w:left="720"/>
        <w:jc w:val="both"/>
      </w:pPr>
    </w:p>
    <w:p w14:paraId="7A891A48" w14:textId="77777777" w:rsidR="00976004" w:rsidRDefault="00976004" w:rsidP="00976004">
      <w:pPr>
        <w:ind w:left="720"/>
        <w:jc w:val="both"/>
        <w:rPr>
          <w:szCs w:val="24"/>
        </w:rPr>
      </w:pPr>
    </w:p>
    <w:p w14:paraId="4CB17DA1" w14:textId="2EA8C287" w:rsidR="007B1B1A" w:rsidRDefault="00BD02E1" w:rsidP="00287A81">
      <w:pPr>
        <w:numPr>
          <w:ilvl w:val="0"/>
          <w:numId w:val="16"/>
        </w:numPr>
        <w:jc w:val="both"/>
        <w:rPr>
          <w:szCs w:val="24"/>
        </w:rPr>
      </w:pPr>
      <w:r w:rsidRPr="007B1B1A">
        <w:rPr>
          <w:szCs w:val="24"/>
        </w:rPr>
        <w:t>T</w:t>
      </w:r>
      <w:r w:rsidR="00260000" w:rsidRPr="007B1B1A">
        <w:rPr>
          <w:szCs w:val="24"/>
        </w:rPr>
        <w:t>h</w:t>
      </w:r>
      <w:r w:rsidR="003315E4" w:rsidRPr="007B1B1A">
        <w:rPr>
          <w:szCs w:val="24"/>
        </w:rPr>
        <w:t xml:space="preserve">e Pension Fund’s </w:t>
      </w:r>
      <w:r w:rsidR="00260000" w:rsidRPr="007B1B1A">
        <w:rPr>
          <w:szCs w:val="24"/>
        </w:rPr>
        <w:t>investments were valued at</w:t>
      </w:r>
      <w:r w:rsidRPr="007B1B1A">
        <w:rPr>
          <w:szCs w:val="24"/>
        </w:rPr>
        <w:t xml:space="preserve"> £</w:t>
      </w:r>
      <w:r w:rsidR="00E020CD">
        <w:rPr>
          <w:szCs w:val="24"/>
        </w:rPr>
        <w:t>927.5</w:t>
      </w:r>
      <w:r w:rsidR="006809C4" w:rsidRPr="007B1B1A">
        <w:rPr>
          <w:szCs w:val="24"/>
        </w:rPr>
        <w:t>m</w:t>
      </w:r>
      <w:r w:rsidRPr="007B1B1A">
        <w:rPr>
          <w:szCs w:val="24"/>
        </w:rPr>
        <w:t xml:space="preserve"> at 3</w:t>
      </w:r>
      <w:r w:rsidR="00E020CD">
        <w:rPr>
          <w:szCs w:val="24"/>
        </w:rPr>
        <w:t>1</w:t>
      </w:r>
      <w:r w:rsidR="007B1B1A" w:rsidRPr="007B1B1A">
        <w:rPr>
          <w:szCs w:val="24"/>
        </w:rPr>
        <w:t xml:space="preserve"> </w:t>
      </w:r>
      <w:r w:rsidR="00E020CD">
        <w:rPr>
          <w:szCs w:val="24"/>
        </w:rPr>
        <w:t>Dec</w:t>
      </w:r>
      <w:r w:rsidR="007B1B1A" w:rsidRPr="007B1B1A">
        <w:rPr>
          <w:szCs w:val="24"/>
        </w:rPr>
        <w:t>ember</w:t>
      </w:r>
      <w:r w:rsidR="00133785" w:rsidRPr="007B1B1A">
        <w:rPr>
          <w:szCs w:val="24"/>
        </w:rPr>
        <w:t xml:space="preserve"> 2022</w:t>
      </w:r>
      <w:r w:rsidRPr="007B1B1A">
        <w:rPr>
          <w:szCs w:val="24"/>
        </w:rPr>
        <w:t xml:space="preserve">. The details </w:t>
      </w:r>
      <w:r w:rsidR="007B1B1A" w:rsidRPr="007B1B1A">
        <w:rPr>
          <w:szCs w:val="24"/>
        </w:rPr>
        <w:t>of the valuation</w:t>
      </w:r>
      <w:r w:rsidR="0056764D">
        <w:rPr>
          <w:szCs w:val="24"/>
        </w:rPr>
        <w:t xml:space="preserve"> are </w:t>
      </w:r>
      <w:r w:rsidR="003315E4" w:rsidRPr="007B1B1A">
        <w:rPr>
          <w:szCs w:val="24"/>
        </w:rPr>
        <w:t xml:space="preserve">shown at appendix </w:t>
      </w:r>
      <w:r w:rsidR="00CB4353" w:rsidRPr="007B1B1A">
        <w:rPr>
          <w:szCs w:val="24"/>
        </w:rPr>
        <w:t>1</w:t>
      </w:r>
      <w:r w:rsidRPr="007B1B1A">
        <w:rPr>
          <w:szCs w:val="24"/>
        </w:rPr>
        <w:t>.</w:t>
      </w:r>
      <w:r w:rsidR="00821C13" w:rsidRPr="007B1B1A">
        <w:rPr>
          <w:szCs w:val="24"/>
        </w:rPr>
        <w:t xml:space="preserve"> </w:t>
      </w:r>
    </w:p>
    <w:p w14:paraId="0F25CB82" w14:textId="77777777" w:rsidR="007B1B1A" w:rsidRDefault="007B1B1A" w:rsidP="007B1B1A">
      <w:pPr>
        <w:ind w:left="720"/>
        <w:jc w:val="both"/>
        <w:rPr>
          <w:szCs w:val="24"/>
        </w:rPr>
      </w:pPr>
    </w:p>
    <w:p w14:paraId="65F54E31" w14:textId="1B91C718" w:rsidR="007B1B1A" w:rsidRPr="007B1B1A" w:rsidRDefault="00E020CD" w:rsidP="00C70BDC">
      <w:pPr>
        <w:numPr>
          <w:ilvl w:val="0"/>
          <w:numId w:val="16"/>
        </w:numPr>
        <w:jc w:val="both"/>
        <w:rPr>
          <w:szCs w:val="24"/>
        </w:rPr>
      </w:pPr>
      <w:r>
        <w:rPr>
          <w:szCs w:val="24"/>
        </w:rPr>
        <w:t>With the exception of property, which fell in value, the value of most of the Fund’s investments was broadly stable or increased slightly during the quarter, after the instability which occurred at the end of September 2022. The Fund carried out some rebalancing to reduce the overweight positions in its equity portfolio, investing the proceeds in fixed income - corporate bonds and passive index linked Gilts. There were also further drawdowns of the Fund’s commitments to the LCIV Infrastructure Fund and the LCIV renewables Infrastructure Fund.</w:t>
      </w:r>
    </w:p>
    <w:p w14:paraId="21C06B20" w14:textId="77777777" w:rsidR="007B1B1A" w:rsidRDefault="007B1B1A" w:rsidP="007B1B1A">
      <w:pPr>
        <w:ind w:left="720"/>
        <w:jc w:val="both"/>
        <w:rPr>
          <w:szCs w:val="24"/>
        </w:rPr>
      </w:pPr>
    </w:p>
    <w:p w14:paraId="67F32CBA" w14:textId="1B3B819F" w:rsidR="007B1B1A" w:rsidRPr="007B1B1A" w:rsidRDefault="00821C13" w:rsidP="007B1B1A">
      <w:pPr>
        <w:numPr>
          <w:ilvl w:val="0"/>
          <w:numId w:val="16"/>
        </w:numPr>
        <w:jc w:val="both"/>
        <w:rPr>
          <w:szCs w:val="24"/>
        </w:rPr>
      </w:pPr>
      <w:r w:rsidRPr="007B1B1A">
        <w:rPr>
          <w:szCs w:val="24"/>
        </w:rPr>
        <w:t>The Fund’s past service liabilities at 3</w:t>
      </w:r>
      <w:r w:rsidR="00E020CD">
        <w:rPr>
          <w:szCs w:val="24"/>
        </w:rPr>
        <w:t>1</w:t>
      </w:r>
      <w:r w:rsidR="007F5656" w:rsidRPr="007B1B1A">
        <w:rPr>
          <w:szCs w:val="24"/>
        </w:rPr>
        <w:t xml:space="preserve"> </w:t>
      </w:r>
      <w:r w:rsidR="00E020CD">
        <w:rPr>
          <w:szCs w:val="24"/>
        </w:rPr>
        <w:t>Dec</w:t>
      </w:r>
      <w:r w:rsidR="007B1B1A" w:rsidRPr="007B1B1A">
        <w:rPr>
          <w:szCs w:val="24"/>
        </w:rPr>
        <w:t>ember 2022</w:t>
      </w:r>
      <w:r w:rsidRPr="007B1B1A">
        <w:rPr>
          <w:szCs w:val="24"/>
        </w:rPr>
        <w:t xml:space="preserve"> totalled </w:t>
      </w:r>
      <w:r w:rsidRPr="00971250">
        <w:rPr>
          <w:szCs w:val="24"/>
        </w:rPr>
        <w:t>£</w:t>
      </w:r>
      <w:r w:rsidR="00971250" w:rsidRPr="00971250">
        <w:rPr>
          <w:szCs w:val="24"/>
        </w:rPr>
        <w:t>825</w:t>
      </w:r>
      <w:r w:rsidRPr="00971250">
        <w:rPr>
          <w:szCs w:val="24"/>
        </w:rPr>
        <w:t>m</w:t>
      </w:r>
      <w:r w:rsidRPr="007B1B1A">
        <w:rPr>
          <w:szCs w:val="24"/>
        </w:rPr>
        <w:t xml:space="preserve"> meaning the Fund was </w:t>
      </w:r>
      <w:r w:rsidRPr="00971250">
        <w:rPr>
          <w:szCs w:val="24"/>
        </w:rPr>
        <w:t xml:space="preserve">approximately </w:t>
      </w:r>
      <w:r w:rsidR="00971250" w:rsidRPr="00971250">
        <w:rPr>
          <w:szCs w:val="24"/>
        </w:rPr>
        <w:t>112</w:t>
      </w:r>
      <w:r w:rsidR="00E020CD" w:rsidRPr="00971250">
        <w:rPr>
          <w:szCs w:val="24"/>
        </w:rPr>
        <w:t>%</w:t>
      </w:r>
      <w:r w:rsidRPr="00971250">
        <w:rPr>
          <w:szCs w:val="24"/>
        </w:rPr>
        <w:t xml:space="preserve"> fun</w:t>
      </w:r>
      <w:r w:rsidRPr="007B1B1A">
        <w:rPr>
          <w:szCs w:val="24"/>
        </w:rPr>
        <w:t xml:space="preserve">ded. </w:t>
      </w:r>
      <w:r w:rsidR="007F5656" w:rsidRPr="007B1B1A">
        <w:rPr>
          <w:szCs w:val="24"/>
        </w:rPr>
        <w:t xml:space="preserve">This estimate of liabilities is simply a rolled forward projection based on the </w:t>
      </w:r>
      <w:r w:rsidR="007B1B1A" w:rsidRPr="007B1B1A">
        <w:rPr>
          <w:szCs w:val="24"/>
        </w:rPr>
        <w:t>2022</w:t>
      </w:r>
      <w:r w:rsidR="007F5656" w:rsidRPr="007B1B1A">
        <w:rPr>
          <w:szCs w:val="24"/>
        </w:rPr>
        <w:t xml:space="preserve"> </w:t>
      </w:r>
      <w:r w:rsidR="007B1B1A" w:rsidRPr="007B1B1A">
        <w:rPr>
          <w:szCs w:val="24"/>
        </w:rPr>
        <w:t>triennial</w:t>
      </w:r>
      <w:r w:rsidR="007F5656" w:rsidRPr="007B1B1A">
        <w:rPr>
          <w:szCs w:val="24"/>
        </w:rPr>
        <w:t xml:space="preserve"> valuation</w:t>
      </w:r>
      <w:r w:rsidR="007B1B1A" w:rsidRPr="007B1B1A">
        <w:rPr>
          <w:szCs w:val="24"/>
        </w:rPr>
        <w:t xml:space="preserve">. </w:t>
      </w:r>
      <w:r w:rsidR="007F5656" w:rsidRPr="007B1B1A">
        <w:rPr>
          <w:szCs w:val="24"/>
        </w:rPr>
        <w:t xml:space="preserve"> </w:t>
      </w:r>
      <w:r w:rsidR="007B1B1A" w:rsidRPr="007B1B1A">
        <w:rPr>
          <w:szCs w:val="24"/>
        </w:rPr>
        <w:t xml:space="preserve">The estimated funding level has improved since the 2022 valuation. This is driven by the fact that the expected return (discount rate) </w:t>
      </w:r>
      <w:r w:rsidR="007B1B1A">
        <w:t xml:space="preserve">has increased materially since the valuation largely driven by increasing interest rate expectations. This has reduced the liabilities substantially. The assets have held up well over </w:t>
      </w:r>
      <w:r w:rsidR="00E020CD">
        <w:t>what was a</w:t>
      </w:r>
      <w:r w:rsidR="007B1B1A">
        <w:t xml:space="preserve"> period of turbulence in financial markets and have not dropped to the same exten</w:t>
      </w:r>
      <w:r w:rsidR="00E020CD">
        <w:t>t</w:t>
      </w:r>
      <w:r w:rsidR="007B1B1A">
        <w:t xml:space="preserve"> as the liabilities</w:t>
      </w:r>
      <w:r w:rsidR="007B1B1A" w:rsidRPr="007B1B1A">
        <w:rPr>
          <w:szCs w:val="24"/>
        </w:rPr>
        <w:t xml:space="preserve"> – hence the increased funding level. This update is at a single point in time </w:t>
      </w:r>
      <w:r w:rsidR="00601097">
        <w:rPr>
          <w:szCs w:val="24"/>
        </w:rPr>
        <w:t>and follows</w:t>
      </w:r>
      <w:r w:rsidR="007B1B1A" w:rsidRPr="007B1B1A">
        <w:rPr>
          <w:szCs w:val="24"/>
        </w:rPr>
        <w:t xml:space="preserve"> a period of volatility in markets. Further market movements will lead to further fluctuations in funding level.  </w:t>
      </w:r>
    </w:p>
    <w:p w14:paraId="7707CFDB" w14:textId="77777777" w:rsidR="007B1B1A" w:rsidRDefault="007B1B1A" w:rsidP="007B1B1A">
      <w:pPr>
        <w:pStyle w:val="ListParagraph"/>
        <w:rPr>
          <w:szCs w:val="24"/>
        </w:rPr>
      </w:pPr>
    </w:p>
    <w:p w14:paraId="592C6527" w14:textId="34426AD7" w:rsidR="007B1B1A" w:rsidRDefault="007B1B1A" w:rsidP="0071168F">
      <w:pPr>
        <w:numPr>
          <w:ilvl w:val="0"/>
          <w:numId w:val="16"/>
        </w:numPr>
        <w:jc w:val="both"/>
        <w:rPr>
          <w:szCs w:val="24"/>
        </w:rPr>
      </w:pPr>
      <w:r w:rsidRPr="007B1B1A">
        <w:rPr>
          <w:szCs w:val="24"/>
        </w:rPr>
        <w:t xml:space="preserve">It should be noted also that the </w:t>
      </w:r>
      <w:r w:rsidR="00971250">
        <w:rPr>
          <w:szCs w:val="24"/>
        </w:rPr>
        <w:t>112</w:t>
      </w:r>
      <w:r w:rsidR="00E020CD" w:rsidRPr="00971250">
        <w:rPr>
          <w:szCs w:val="24"/>
        </w:rPr>
        <w:t>%</w:t>
      </w:r>
      <w:r w:rsidRPr="007B1B1A">
        <w:rPr>
          <w:szCs w:val="24"/>
        </w:rPr>
        <w:t xml:space="preserve"> funding level relates only to “past service” benefits (i.e. service accrued to date). As a scheme which is “open” (i.e. both to future accrual of benefits for existing members and to new joiners), the Fund will also have to meet significant liabilities in respect of future service, which will in turn depend on pay levels and other factors. </w:t>
      </w:r>
    </w:p>
    <w:p w14:paraId="17316183" w14:textId="77777777" w:rsidR="007B1B1A" w:rsidRDefault="007B1B1A" w:rsidP="007B1B1A">
      <w:pPr>
        <w:pStyle w:val="ListParagraph"/>
        <w:rPr>
          <w:szCs w:val="24"/>
        </w:rPr>
      </w:pPr>
    </w:p>
    <w:p w14:paraId="1933DFB4" w14:textId="70ADBEE5" w:rsidR="006809C4" w:rsidRDefault="007F5656" w:rsidP="0071168F">
      <w:pPr>
        <w:numPr>
          <w:ilvl w:val="0"/>
          <w:numId w:val="16"/>
        </w:numPr>
        <w:jc w:val="both"/>
        <w:rPr>
          <w:szCs w:val="24"/>
        </w:rPr>
      </w:pPr>
      <w:r w:rsidRPr="007B1B1A">
        <w:rPr>
          <w:szCs w:val="24"/>
        </w:rPr>
        <w:t>At 3</w:t>
      </w:r>
      <w:r w:rsidR="00E020CD">
        <w:rPr>
          <w:szCs w:val="24"/>
        </w:rPr>
        <w:t>1 Dec</w:t>
      </w:r>
      <w:r w:rsidR="00441D9B">
        <w:rPr>
          <w:szCs w:val="24"/>
        </w:rPr>
        <w:t>ember</w:t>
      </w:r>
      <w:r w:rsidR="006809C4" w:rsidRPr="007B1B1A">
        <w:rPr>
          <w:szCs w:val="24"/>
        </w:rPr>
        <w:t xml:space="preserve"> </w:t>
      </w:r>
      <w:r w:rsidRPr="007B1B1A">
        <w:rPr>
          <w:szCs w:val="24"/>
        </w:rPr>
        <w:t xml:space="preserve">2022, </w:t>
      </w:r>
      <w:r w:rsidR="006809C4" w:rsidRPr="007B1B1A">
        <w:rPr>
          <w:szCs w:val="24"/>
        </w:rPr>
        <w:t>the value of the Fund’s investments was £</w:t>
      </w:r>
      <w:r w:rsidR="00E020CD">
        <w:rPr>
          <w:szCs w:val="24"/>
        </w:rPr>
        <w:t>927.5</w:t>
      </w:r>
      <w:r w:rsidR="006809C4" w:rsidRPr="007B1B1A">
        <w:rPr>
          <w:szCs w:val="24"/>
        </w:rPr>
        <w:t xml:space="preserve">m. At that date, </w:t>
      </w:r>
      <w:r w:rsidR="00E020CD">
        <w:rPr>
          <w:szCs w:val="24"/>
        </w:rPr>
        <w:t>77.8</w:t>
      </w:r>
      <w:r w:rsidRPr="007B1B1A">
        <w:rPr>
          <w:szCs w:val="24"/>
        </w:rPr>
        <w:t xml:space="preserve">% of the Fund’s investments were pooled or in passive investments which are regarded as being pooled. </w:t>
      </w:r>
    </w:p>
    <w:p w14:paraId="23F0A73B" w14:textId="4ABE8D00" w:rsidR="000D22D8" w:rsidRDefault="000D22D8" w:rsidP="000D22D8">
      <w:pPr>
        <w:jc w:val="both"/>
        <w:rPr>
          <w:szCs w:val="24"/>
        </w:rPr>
      </w:pPr>
    </w:p>
    <w:p w14:paraId="0B34286C" w14:textId="4E2F66BA" w:rsidR="000D22D8" w:rsidRPr="000D22D8" w:rsidRDefault="007227C0" w:rsidP="000D22D8">
      <w:pPr>
        <w:jc w:val="both"/>
        <w:rPr>
          <w:b/>
          <w:bCs/>
          <w:szCs w:val="24"/>
        </w:rPr>
      </w:pPr>
      <w:r>
        <w:rPr>
          <w:b/>
          <w:bCs/>
          <w:szCs w:val="24"/>
        </w:rPr>
        <w:t xml:space="preserve">Audit of </w:t>
      </w:r>
      <w:r w:rsidR="000D22D8">
        <w:rPr>
          <w:b/>
          <w:bCs/>
          <w:szCs w:val="24"/>
        </w:rPr>
        <w:t>Pension Fund Annual Report and Accounts 2021-22</w:t>
      </w:r>
    </w:p>
    <w:p w14:paraId="58001F0A" w14:textId="77777777" w:rsidR="00E020CD" w:rsidRDefault="00E020CD" w:rsidP="00E020CD">
      <w:pPr>
        <w:pStyle w:val="ListParagraph"/>
        <w:rPr>
          <w:szCs w:val="24"/>
        </w:rPr>
      </w:pPr>
    </w:p>
    <w:p w14:paraId="5F36E51B" w14:textId="28F29B91" w:rsidR="00E020CD" w:rsidRPr="007B1B1A" w:rsidRDefault="007900B5" w:rsidP="0071168F">
      <w:pPr>
        <w:numPr>
          <w:ilvl w:val="0"/>
          <w:numId w:val="16"/>
        </w:numPr>
        <w:jc w:val="both"/>
        <w:rPr>
          <w:szCs w:val="24"/>
        </w:rPr>
      </w:pPr>
      <w:r>
        <w:rPr>
          <w:szCs w:val="24"/>
        </w:rPr>
        <w:t xml:space="preserve"> The audit of the </w:t>
      </w:r>
      <w:r w:rsidR="007227C0">
        <w:rPr>
          <w:szCs w:val="24"/>
        </w:rPr>
        <w:t>Pension Fund A</w:t>
      </w:r>
      <w:r>
        <w:rPr>
          <w:szCs w:val="24"/>
        </w:rPr>
        <w:t xml:space="preserve">nnual </w:t>
      </w:r>
      <w:r w:rsidR="007227C0">
        <w:rPr>
          <w:szCs w:val="24"/>
        </w:rPr>
        <w:t>R</w:t>
      </w:r>
      <w:r>
        <w:rPr>
          <w:szCs w:val="24"/>
        </w:rPr>
        <w:t xml:space="preserve">eport and </w:t>
      </w:r>
      <w:r w:rsidR="007227C0">
        <w:rPr>
          <w:szCs w:val="24"/>
        </w:rPr>
        <w:t>A</w:t>
      </w:r>
      <w:r>
        <w:rPr>
          <w:szCs w:val="24"/>
        </w:rPr>
        <w:t xml:space="preserve">ccounts is being carried out by </w:t>
      </w:r>
      <w:r w:rsidR="007227C0">
        <w:rPr>
          <w:szCs w:val="24"/>
        </w:rPr>
        <w:t>M</w:t>
      </w:r>
      <w:r>
        <w:rPr>
          <w:szCs w:val="24"/>
        </w:rPr>
        <w:t>azars</w:t>
      </w:r>
      <w:r w:rsidR="007227C0">
        <w:rPr>
          <w:szCs w:val="24"/>
        </w:rPr>
        <w:t xml:space="preserve">. This audit is largely complete – there have been no material changes to the draft accounts presented to the Board in October 2022, and only a small number of presentational and disclosure changes to some of the Notes to the accounts. However, the audit cannot be completed until the audit of the Council’s own accounts is finalised – the reason for this is that until that happens the auditor is </w:t>
      </w:r>
      <w:r w:rsidR="007F0CF1">
        <w:rPr>
          <w:szCs w:val="24"/>
        </w:rPr>
        <w:t>required to confirm that the Pension Fund Annual Report and Accounts align with the Council’s main accounts, and there are some technical issues being worked through in respect of the latter.</w:t>
      </w:r>
      <w:r w:rsidR="007227C0">
        <w:rPr>
          <w:szCs w:val="24"/>
        </w:rPr>
        <w:t xml:space="preserve"> </w:t>
      </w:r>
      <w:r w:rsidR="007F0CF1">
        <w:rPr>
          <w:szCs w:val="24"/>
        </w:rPr>
        <w:t xml:space="preserve"> Other LGPS funds and administering authorities are </w:t>
      </w:r>
      <w:r w:rsidR="0056764D">
        <w:rPr>
          <w:szCs w:val="24"/>
        </w:rPr>
        <w:t xml:space="preserve">experiencing similar issues. </w:t>
      </w:r>
      <w:r w:rsidR="007227C0">
        <w:rPr>
          <w:szCs w:val="24"/>
        </w:rPr>
        <w:t xml:space="preserve">The auditors will be reporting to the next meeting of the Governance, </w:t>
      </w:r>
      <w:r w:rsidR="00646C65">
        <w:rPr>
          <w:szCs w:val="24"/>
        </w:rPr>
        <w:t>A</w:t>
      </w:r>
      <w:r w:rsidR="007227C0">
        <w:rPr>
          <w:szCs w:val="24"/>
        </w:rPr>
        <w:t xml:space="preserve">udit, </w:t>
      </w:r>
      <w:r w:rsidR="00646C65">
        <w:rPr>
          <w:szCs w:val="24"/>
        </w:rPr>
        <w:t>R</w:t>
      </w:r>
      <w:r w:rsidR="007227C0">
        <w:rPr>
          <w:szCs w:val="24"/>
        </w:rPr>
        <w:t xml:space="preserve">isk </w:t>
      </w:r>
      <w:r w:rsidR="00646C65">
        <w:rPr>
          <w:szCs w:val="24"/>
        </w:rPr>
        <w:t>M</w:t>
      </w:r>
      <w:r w:rsidR="007227C0">
        <w:rPr>
          <w:szCs w:val="24"/>
        </w:rPr>
        <w:t xml:space="preserve">anagement and </w:t>
      </w:r>
      <w:r w:rsidR="00646C65">
        <w:rPr>
          <w:szCs w:val="24"/>
        </w:rPr>
        <w:t>S</w:t>
      </w:r>
      <w:r w:rsidR="007227C0">
        <w:rPr>
          <w:szCs w:val="24"/>
        </w:rPr>
        <w:t xml:space="preserve">tandards </w:t>
      </w:r>
      <w:r w:rsidR="00646C65">
        <w:rPr>
          <w:szCs w:val="24"/>
        </w:rPr>
        <w:t>C</w:t>
      </w:r>
      <w:r w:rsidR="007227C0">
        <w:rPr>
          <w:szCs w:val="24"/>
        </w:rPr>
        <w:t>ommittee in April 2023.</w:t>
      </w:r>
    </w:p>
    <w:p w14:paraId="5F6BD5FD" w14:textId="77777777" w:rsidR="006B5B52" w:rsidRPr="00ED1007" w:rsidRDefault="006B5B52" w:rsidP="006B5B52">
      <w:pPr>
        <w:pStyle w:val="Heading2"/>
      </w:pPr>
      <w:r w:rsidRPr="00821C13">
        <w:t>Legal Implications</w:t>
      </w:r>
    </w:p>
    <w:p w14:paraId="56739B89" w14:textId="77777777" w:rsidR="006B5B52" w:rsidRPr="00ED1007" w:rsidRDefault="006B5B52" w:rsidP="006B5B52">
      <w:pPr>
        <w:pStyle w:val="ListParagraph"/>
      </w:pPr>
    </w:p>
    <w:p w14:paraId="1AE22C2D" w14:textId="7F1C0BB7" w:rsidR="006B5B52" w:rsidRPr="00ED1007" w:rsidRDefault="006B5B52" w:rsidP="000E1E98">
      <w:pPr>
        <w:numPr>
          <w:ilvl w:val="0"/>
          <w:numId w:val="16"/>
        </w:numPr>
        <w:jc w:val="both"/>
        <w:rPr>
          <w:szCs w:val="24"/>
        </w:rPr>
      </w:pPr>
      <w:r w:rsidRPr="00ED1007">
        <w:rPr>
          <w:szCs w:val="24"/>
        </w:rPr>
        <w:t>There are no direct legal implications arising from this report.</w:t>
      </w:r>
    </w:p>
    <w:p w14:paraId="71FA671C" w14:textId="77777777" w:rsidR="005740D4" w:rsidRPr="00ED1007" w:rsidRDefault="005740D4" w:rsidP="005740D4">
      <w:pPr>
        <w:ind w:left="720"/>
        <w:jc w:val="both"/>
        <w:rPr>
          <w:szCs w:val="24"/>
        </w:rPr>
      </w:pPr>
    </w:p>
    <w:p w14:paraId="20DF4B67" w14:textId="314F3ABD" w:rsidR="007F5656" w:rsidRPr="007F5656" w:rsidRDefault="007F5656" w:rsidP="007F5656">
      <w:pPr>
        <w:numPr>
          <w:ilvl w:val="0"/>
          <w:numId w:val="16"/>
        </w:numPr>
        <w:jc w:val="both"/>
        <w:rPr>
          <w:szCs w:val="24"/>
        </w:rPr>
      </w:pPr>
      <w:r w:rsidRPr="007F5656">
        <w:rPr>
          <w:szCs w:val="24"/>
        </w:rPr>
        <w:t xml:space="preserve">The terms of reference for the Board include the Board’s role as set out in the following paragraphs. </w:t>
      </w:r>
    </w:p>
    <w:p w14:paraId="315C7E5E" w14:textId="77777777" w:rsidR="007F5656" w:rsidRDefault="007F5656" w:rsidP="007F5656">
      <w:pPr>
        <w:pStyle w:val="ListParagraph"/>
        <w:rPr>
          <w:szCs w:val="24"/>
        </w:rPr>
      </w:pPr>
    </w:p>
    <w:p w14:paraId="4468AEB8" w14:textId="77777777" w:rsidR="007F5656" w:rsidRPr="00B17A17" w:rsidRDefault="007F5656" w:rsidP="007F5656">
      <w:pPr>
        <w:numPr>
          <w:ilvl w:val="0"/>
          <w:numId w:val="16"/>
        </w:numPr>
        <w:jc w:val="both"/>
        <w:rPr>
          <w:szCs w:val="24"/>
        </w:rPr>
      </w:pPr>
      <w:r w:rsidRPr="00B17A17">
        <w:rPr>
          <w:rFonts w:cs="Arial"/>
          <w:color w:val="262626"/>
          <w:szCs w:val="24"/>
          <w:lang w:eastAsia="en-GB"/>
        </w:rPr>
        <w:t>The role of the Board, as defined by sections 5(1) and (2) of the Public Service Pensions Act 2013, is to assist the Administering Authority (London Borough of Harrow) as Scheme Manager in ensuring the effective and efficient governance and administration of the Local Government Pension Scheme (LGPS) including:</w:t>
      </w:r>
    </w:p>
    <w:p w14:paraId="7F03A920" w14:textId="77777777" w:rsidR="007F5656" w:rsidRPr="00B17A17" w:rsidRDefault="007F5656" w:rsidP="007F5656">
      <w:pPr>
        <w:pStyle w:val="ListParagraph"/>
        <w:numPr>
          <w:ilvl w:val="0"/>
          <w:numId w:val="26"/>
        </w:numPr>
        <w:shd w:val="clear" w:color="auto" w:fill="FFFFFF"/>
        <w:rPr>
          <w:color w:val="262626"/>
          <w:sz w:val="24"/>
          <w:szCs w:val="24"/>
        </w:rPr>
      </w:pPr>
      <w:r w:rsidRPr="00B17A17">
        <w:rPr>
          <w:color w:val="262626"/>
          <w:sz w:val="24"/>
          <w:szCs w:val="24"/>
        </w:rPr>
        <w:t>securing compliance with the LGPS regulations and other legislation relating to the governance and administration of the LGPS;</w:t>
      </w:r>
    </w:p>
    <w:p w14:paraId="4A7C1A20" w14:textId="77777777" w:rsidR="007F5656" w:rsidRPr="00B17A17" w:rsidRDefault="007F5656" w:rsidP="007F5656">
      <w:pPr>
        <w:pStyle w:val="ListParagraph"/>
        <w:numPr>
          <w:ilvl w:val="0"/>
          <w:numId w:val="26"/>
        </w:numPr>
        <w:shd w:val="clear" w:color="auto" w:fill="FFFFFF"/>
        <w:rPr>
          <w:color w:val="262626"/>
          <w:sz w:val="24"/>
          <w:szCs w:val="24"/>
        </w:rPr>
      </w:pPr>
      <w:r w:rsidRPr="00B17A17">
        <w:rPr>
          <w:color w:val="262626"/>
          <w:sz w:val="24"/>
          <w:szCs w:val="24"/>
        </w:rPr>
        <w:t>securing compliance with requirements imposed in relation to the LGPS by the Pensions Regulator; and</w:t>
      </w:r>
    </w:p>
    <w:p w14:paraId="16030DE0" w14:textId="77777777" w:rsidR="007F5656" w:rsidRPr="00B17A17" w:rsidRDefault="007F5656" w:rsidP="007F5656">
      <w:pPr>
        <w:pStyle w:val="ListParagraph"/>
        <w:numPr>
          <w:ilvl w:val="0"/>
          <w:numId w:val="26"/>
        </w:numPr>
        <w:shd w:val="clear" w:color="auto" w:fill="FFFFFF"/>
        <w:spacing w:after="160"/>
        <w:rPr>
          <w:color w:val="262626"/>
          <w:sz w:val="24"/>
          <w:szCs w:val="24"/>
        </w:rPr>
      </w:pPr>
      <w:r w:rsidRPr="00B17A17">
        <w:rPr>
          <w:color w:val="262626"/>
          <w:sz w:val="24"/>
          <w:szCs w:val="24"/>
        </w:rPr>
        <w:t>such other matters the LGPS regulations may specify.</w:t>
      </w:r>
    </w:p>
    <w:p w14:paraId="0E381276" w14:textId="77777777" w:rsidR="007F5656" w:rsidRDefault="007F5656" w:rsidP="007F5656">
      <w:pPr>
        <w:numPr>
          <w:ilvl w:val="0"/>
          <w:numId w:val="16"/>
        </w:numPr>
        <w:shd w:val="clear" w:color="auto" w:fill="FFFFFF"/>
        <w:jc w:val="both"/>
        <w:rPr>
          <w:rFonts w:cs="Arial"/>
          <w:color w:val="262626"/>
          <w:szCs w:val="24"/>
          <w:lang w:eastAsia="en-GB"/>
        </w:rPr>
      </w:pPr>
      <w:r w:rsidRPr="00B17A17">
        <w:rPr>
          <w:rFonts w:cs="Arial"/>
          <w:color w:val="262626"/>
          <w:szCs w:val="24"/>
          <w:lang w:eastAsia="en-GB"/>
        </w:rPr>
        <w:t>The Administering Authority retains ultimate responsibility for the administration and governance of the scheme.  The role of the Board is to support the Administering Authority to fulfil that responsibility. </w:t>
      </w:r>
    </w:p>
    <w:p w14:paraId="1828E24E" w14:textId="77777777" w:rsidR="007F5656" w:rsidRPr="00B17A17" w:rsidRDefault="007F5656" w:rsidP="007F5656">
      <w:pPr>
        <w:shd w:val="clear" w:color="auto" w:fill="FFFFFF"/>
        <w:ind w:left="720"/>
        <w:jc w:val="both"/>
        <w:rPr>
          <w:rFonts w:cs="Arial"/>
          <w:color w:val="262626"/>
          <w:szCs w:val="24"/>
          <w:lang w:eastAsia="en-GB"/>
        </w:rPr>
      </w:pPr>
    </w:p>
    <w:p w14:paraId="737E8EF8" w14:textId="77777777" w:rsidR="007F5656" w:rsidRPr="00B17A17" w:rsidRDefault="007F5656" w:rsidP="007F5656">
      <w:pPr>
        <w:numPr>
          <w:ilvl w:val="0"/>
          <w:numId w:val="16"/>
        </w:numPr>
        <w:shd w:val="clear" w:color="auto" w:fill="FFFFFF"/>
        <w:jc w:val="both"/>
        <w:rPr>
          <w:rFonts w:cs="Arial"/>
          <w:color w:val="262626"/>
          <w:szCs w:val="24"/>
          <w:lang w:eastAsia="en-GB"/>
        </w:rPr>
      </w:pPr>
      <w:r w:rsidRPr="00B17A17">
        <w:rPr>
          <w:rFonts w:cs="Arial"/>
          <w:color w:val="262626"/>
          <w:szCs w:val="24"/>
          <w:lang w:eastAsia="en-GB"/>
        </w:rPr>
        <w:t>In its role, The Board will have oversight of the administration of the fund including:</w:t>
      </w:r>
    </w:p>
    <w:p w14:paraId="593FA89E" w14:textId="77777777" w:rsidR="007F5656" w:rsidRPr="00B17A17" w:rsidRDefault="007F5656" w:rsidP="007F5656">
      <w:pPr>
        <w:shd w:val="clear" w:color="auto" w:fill="FFFFFF"/>
        <w:ind w:left="720"/>
        <w:rPr>
          <w:rFonts w:cs="Arial"/>
          <w:color w:val="262626"/>
          <w:szCs w:val="24"/>
          <w:lang w:eastAsia="en-GB"/>
        </w:rPr>
      </w:pPr>
      <w:r w:rsidRPr="00B17A17">
        <w:rPr>
          <w:rFonts w:cs="Arial"/>
          <w:color w:val="262626"/>
          <w:szCs w:val="24"/>
          <w:lang w:eastAsia="en-GB"/>
        </w:rPr>
        <w:t> </w:t>
      </w:r>
    </w:p>
    <w:p w14:paraId="7A349E38" w14:textId="22791F4E" w:rsidR="007F5656" w:rsidRPr="00B17A17" w:rsidRDefault="007F5656" w:rsidP="007F5656">
      <w:pPr>
        <w:shd w:val="clear" w:color="auto" w:fill="FFFFFF"/>
        <w:ind w:left="1440" w:hanging="720"/>
        <w:rPr>
          <w:rFonts w:cs="Arial"/>
          <w:color w:val="262626"/>
          <w:szCs w:val="24"/>
          <w:lang w:eastAsia="en-GB"/>
        </w:rPr>
      </w:pPr>
      <w:r w:rsidRPr="00B17A17">
        <w:rPr>
          <w:rFonts w:cs="Arial"/>
          <w:color w:val="262626"/>
          <w:szCs w:val="24"/>
          <w:lang w:eastAsia="en-GB"/>
        </w:rPr>
        <w:t>a.</w:t>
      </w:r>
      <w:r w:rsidRPr="00B17A17">
        <w:rPr>
          <w:rFonts w:ascii="Times New Roman" w:hAnsi="Times New Roman"/>
          <w:color w:val="262626"/>
          <w:sz w:val="14"/>
          <w:szCs w:val="14"/>
          <w:lang w:eastAsia="en-GB"/>
        </w:rPr>
        <w:t>           </w:t>
      </w:r>
      <w:r w:rsidRPr="00B17A17">
        <w:rPr>
          <w:rFonts w:cs="Arial"/>
          <w:color w:val="262626"/>
          <w:szCs w:val="24"/>
          <w:lang w:eastAsia="en-GB"/>
        </w:rPr>
        <w:t xml:space="preserve"> The effectiveness of the </w:t>
      </w:r>
      <w:r w:rsidR="006D4DBB" w:rsidRPr="00B17A17">
        <w:rPr>
          <w:rFonts w:cs="Arial"/>
          <w:color w:val="262626"/>
          <w:szCs w:val="24"/>
          <w:lang w:eastAsia="en-GB"/>
        </w:rPr>
        <w:t>decision-making</w:t>
      </w:r>
      <w:r w:rsidRPr="00B17A17">
        <w:rPr>
          <w:rFonts w:cs="Arial"/>
          <w:color w:val="262626"/>
          <w:szCs w:val="24"/>
          <w:lang w:eastAsia="en-GB"/>
        </w:rPr>
        <w:t xml:space="preserve"> process</w:t>
      </w:r>
    </w:p>
    <w:p w14:paraId="4FA6CEF7" w14:textId="77777777" w:rsidR="007F5656" w:rsidRPr="00B17A17" w:rsidRDefault="007F5656" w:rsidP="007F5656">
      <w:pPr>
        <w:shd w:val="clear" w:color="auto" w:fill="FFFFFF"/>
        <w:ind w:left="1440" w:hanging="720"/>
        <w:rPr>
          <w:rFonts w:cs="Arial"/>
          <w:color w:val="262626"/>
          <w:szCs w:val="24"/>
          <w:lang w:eastAsia="en-GB"/>
        </w:rPr>
      </w:pPr>
      <w:r w:rsidRPr="00B17A17">
        <w:rPr>
          <w:rFonts w:cs="Arial"/>
          <w:color w:val="262626"/>
          <w:szCs w:val="24"/>
          <w:lang w:eastAsia="en-GB"/>
        </w:rPr>
        <w:t>b.</w:t>
      </w:r>
      <w:r w:rsidRPr="00B17A17">
        <w:rPr>
          <w:rFonts w:ascii="Times New Roman" w:hAnsi="Times New Roman"/>
          <w:color w:val="262626"/>
          <w:sz w:val="14"/>
          <w:szCs w:val="14"/>
          <w:lang w:eastAsia="en-GB"/>
        </w:rPr>
        <w:t>           </w:t>
      </w:r>
      <w:r w:rsidRPr="00B17A17">
        <w:rPr>
          <w:rFonts w:cs="Arial"/>
          <w:color w:val="262626"/>
          <w:szCs w:val="24"/>
          <w:lang w:eastAsia="en-GB"/>
        </w:rPr>
        <w:t> The direction of the Fund and its overall objectives</w:t>
      </w:r>
    </w:p>
    <w:p w14:paraId="4D5EC70D" w14:textId="77777777" w:rsidR="007F5656" w:rsidRPr="00B17A17" w:rsidRDefault="007F5656" w:rsidP="007F5656">
      <w:pPr>
        <w:shd w:val="clear" w:color="auto" w:fill="FFFFFF"/>
        <w:ind w:left="1440" w:hanging="720"/>
        <w:rPr>
          <w:rFonts w:cs="Arial"/>
          <w:color w:val="262626"/>
          <w:szCs w:val="24"/>
          <w:lang w:eastAsia="en-GB"/>
        </w:rPr>
      </w:pPr>
      <w:r w:rsidRPr="00B17A17">
        <w:rPr>
          <w:rFonts w:cs="Arial"/>
          <w:color w:val="262626"/>
          <w:szCs w:val="24"/>
          <w:lang w:eastAsia="en-GB"/>
        </w:rPr>
        <w:t>c.</w:t>
      </w:r>
      <w:r w:rsidRPr="00B17A17">
        <w:rPr>
          <w:rFonts w:ascii="Times New Roman" w:hAnsi="Times New Roman"/>
          <w:color w:val="262626"/>
          <w:sz w:val="14"/>
          <w:szCs w:val="14"/>
          <w:lang w:eastAsia="en-GB"/>
        </w:rPr>
        <w:t>           </w:t>
      </w:r>
      <w:r w:rsidRPr="00B17A17">
        <w:rPr>
          <w:rFonts w:cs="Arial"/>
          <w:color w:val="262626"/>
          <w:szCs w:val="24"/>
          <w:lang w:eastAsia="en-GB"/>
        </w:rPr>
        <w:t> The level of transparency in the conduct of the Fund’s activities</w:t>
      </w:r>
    </w:p>
    <w:p w14:paraId="48071816" w14:textId="77777777" w:rsidR="007F5656" w:rsidRPr="00B17A17" w:rsidRDefault="007F5656" w:rsidP="007F5656">
      <w:pPr>
        <w:shd w:val="clear" w:color="auto" w:fill="FFFFFF"/>
        <w:ind w:left="1440" w:hanging="720"/>
        <w:rPr>
          <w:rFonts w:cs="Arial"/>
          <w:color w:val="262626"/>
          <w:szCs w:val="24"/>
          <w:lang w:eastAsia="en-GB"/>
        </w:rPr>
      </w:pPr>
      <w:r w:rsidRPr="00B17A17">
        <w:rPr>
          <w:rFonts w:cs="Arial"/>
          <w:color w:val="262626"/>
          <w:szCs w:val="24"/>
          <w:lang w:eastAsia="en-GB"/>
        </w:rPr>
        <w:t>d.</w:t>
      </w:r>
      <w:r w:rsidRPr="00B17A17">
        <w:rPr>
          <w:rFonts w:ascii="Times New Roman" w:hAnsi="Times New Roman"/>
          <w:color w:val="262626"/>
          <w:sz w:val="14"/>
          <w:szCs w:val="14"/>
          <w:lang w:eastAsia="en-GB"/>
        </w:rPr>
        <w:t>           </w:t>
      </w:r>
      <w:r w:rsidRPr="00B17A17">
        <w:rPr>
          <w:rFonts w:cs="Arial"/>
          <w:color w:val="262626"/>
          <w:szCs w:val="24"/>
          <w:lang w:eastAsia="en-GB"/>
        </w:rPr>
        <w:t> The administration of benefits and contributions</w:t>
      </w:r>
    </w:p>
    <w:p w14:paraId="5333E014" w14:textId="77777777" w:rsidR="007F5656" w:rsidRPr="00B17A17" w:rsidRDefault="007F5656" w:rsidP="007F5656">
      <w:pPr>
        <w:shd w:val="clear" w:color="auto" w:fill="FFFFFF"/>
        <w:ind w:left="720"/>
        <w:rPr>
          <w:rFonts w:cs="Arial"/>
          <w:color w:val="262626"/>
          <w:szCs w:val="24"/>
          <w:lang w:eastAsia="en-GB"/>
        </w:rPr>
      </w:pPr>
      <w:r w:rsidRPr="00B17A17">
        <w:rPr>
          <w:rFonts w:cs="Arial"/>
          <w:color w:val="262626"/>
          <w:szCs w:val="24"/>
          <w:lang w:eastAsia="en-GB"/>
        </w:rPr>
        <w:t> </w:t>
      </w:r>
    </w:p>
    <w:p w14:paraId="0828422D" w14:textId="77777777" w:rsidR="007F5656" w:rsidRPr="00B17A17" w:rsidRDefault="007F5656" w:rsidP="007F5656">
      <w:pPr>
        <w:numPr>
          <w:ilvl w:val="0"/>
          <w:numId w:val="16"/>
        </w:numPr>
        <w:jc w:val="both"/>
        <w:rPr>
          <w:szCs w:val="24"/>
        </w:rPr>
      </w:pPr>
      <w:r w:rsidRPr="00B17A17">
        <w:rPr>
          <w:rFonts w:cs="Arial"/>
          <w:color w:val="262626"/>
          <w:szCs w:val="24"/>
          <w:lang w:eastAsia="en-GB"/>
        </w:rPr>
        <w:lastRenderedPageBreak/>
        <w:t>The Board will provide the Scheme Manager with such information as it requires to ensure that any Member of the Board or person to be appointed to the Board does not have a conflict of interest.</w:t>
      </w:r>
    </w:p>
    <w:p w14:paraId="0B7F62D6" w14:textId="77777777" w:rsidR="007F5656" w:rsidRPr="00B17A17" w:rsidRDefault="007F5656" w:rsidP="007F5656">
      <w:pPr>
        <w:ind w:left="720"/>
        <w:jc w:val="both"/>
        <w:rPr>
          <w:szCs w:val="24"/>
        </w:rPr>
      </w:pPr>
    </w:p>
    <w:p w14:paraId="30FF5ED8" w14:textId="77777777" w:rsidR="007F5656" w:rsidRPr="00B17A17" w:rsidRDefault="007F5656" w:rsidP="007F5656">
      <w:pPr>
        <w:numPr>
          <w:ilvl w:val="0"/>
          <w:numId w:val="16"/>
        </w:numPr>
        <w:jc w:val="both"/>
        <w:rPr>
          <w:szCs w:val="24"/>
        </w:rPr>
      </w:pPr>
      <w:r w:rsidRPr="00B17A17">
        <w:rPr>
          <w:rFonts w:cs="Arial"/>
          <w:color w:val="262626"/>
          <w:szCs w:val="24"/>
          <w:lang w:eastAsia="en-GB"/>
        </w:rPr>
        <w:t>The Board will ensure it effectively and efficiently complies with the Code of Practice on the Governance and Administration of Public Service Pension Schemes issued by the Pensions Regulator.  It will help to ensure that the Fund is managed in the same way.</w:t>
      </w:r>
    </w:p>
    <w:p w14:paraId="4FE659A9" w14:textId="77777777" w:rsidR="007F5656" w:rsidRDefault="007F5656" w:rsidP="007F5656">
      <w:pPr>
        <w:pStyle w:val="ListParagraph"/>
        <w:rPr>
          <w:szCs w:val="24"/>
        </w:rPr>
      </w:pPr>
    </w:p>
    <w:p w14:paraId="530A9663" w14:textId="77777777" w:rsidR="007F5656" w:rsidRPr="00B17A17" w:rsidRDefault="007F5656" w:rsidP="007F5656">
      <w:pPr>
        <w:numPr>
          <w:ilvl w:val="0"/>
          <w:numId w:val="16"/>
        </w:numPr>
        <w:jc w:val="both"/>
        <w:rPr>
          <w:szCs w:val="24"/>
        </w:rPr>
      </w:pPr>
      <w:r w:rsidRPr="00B17A17">
        <w:rPr>
          <w:rFonts w:cs="Arial"/>
          <w:color w:val="262626"/>
          <w:szCs w:val="24"/>
          <w:lang w:eastAsia="en-GB"/>
        </w:rPr>
        <w:t>The Board shall meet sufficiently regularly to discharge its duties and responsibilities effectively.</w:t>
      </w:r>
    </w:p>
    <w:p w14:paraId="4C08F992" w14:textId="7A76018F" w:rsidR="006B5B52" w:rsidRPr="007F5656" w:rsidRDefault="006B5B52" w:rsidP="007F5656">
      <w:pPr>
        <w:pStyle w:val="Heading2"/>
        <w:spacing w:after="240"/>
      </w:pPr>
      <w:r w:rsidRPr="00ED1007">
        <w:t>Financial Implications</w:t>
      </w:r>
    </w:p>
    <w:p w14:paraId="42CA06A9" w14:textId="2A3E5B29" w:rsidR="006B5B52" w:rsidRPr="00ED1007" w:rsidRDefault="006B5B52" w:rsidP="00EB0AAE">
      <w:pPr>
        <w:numPr>
          <w:ilvl w:val="0"/>
          <w:numId w:val="16"/>
        </w:numPr>
        <w:jc w:val="both"/>
        <w:rPr>
          <w:szCs w:val="24"/>
          <w:lang w:val="en-US"/>
        </w:rPr>
      </w:pPr>
      <w:r w:rsidRPr="00ED1007">
        <w:rPr>
          <w:szCs w:val="24"/>
          <w:lang w:val="en-US"/>
        </w:rPr>
        <w:t>Whilst the performance and effective controls of the fund managers is of paramount importance in the performance of the Pension Fund, there are no</w:t>
      </w:r>
      <w:r w:rsidR="00F6771C" w:rsidRPr="00ED1007">
        <w:rPr>
          <w:szCs w:val="24"/>
          <w:lang w:val="en-US"/>
        </w:rPr>
        <w:t xml:space="preserve"> direct </w:t>
      </w:r>
      <w:r w:rsidRPr="00ED1007">
        <w:rPr>
          <w:szCs w:val="24"/>
          <w:lang w:val="en-US"/>
        </w:rPr>
        <w:t>financial implications arising from this report.</w:t>
      </w:r>
    </w:p>
    <w:p w14:paraId="0568C5C0" w14:textId="77777777" w:rsidR="006B5B52" w:rsidRPr="00ED1007" w:rsidRDefault="006B5B52" w:rsidP="006B5B52">
      <w:pPr>
        <w:pStyle w:val="Heading2"/>
        <w:spacing w:after="240"/>
      </w:pPr>
      <w:r w:rsidRPr="00ED1007">
        <w:t>Risk Management Implications</w:t>
      </w:r>
    </w:p>
    <w:p w14:paraId="34DCB0E4" w14:textId="117AE982" w:rsidR="006B5B52" w:rsidRPr="00ED1007" w:rsidRDefault="006B5B52" w:rsidP="006B5B52">
      <w:pPr>
        <w:ind w:left="720"/>
        <w:jc w:val="both"/>
        <w:rPr>
          <w:szCs w:val="24"/>
          <w:lang w:val="en-US"/>
        </w:rPr>
      </w:pPr>
    </w:p>
    <w:p w14:paraId="21DD527F" w14:textId="7658E7AB" w:rsidR="00F6771C" w:rsidRPr="00ED1007" w:rsidRDefault="00F6771C" w:rsidP="00F6771C">
      <w:pPr>
        <w:numPr>
          <w:ilvl w:val="0"/>
          <w:numId w:val="16"/>
        </w:numPr>
        <w:autoSpaceDE w:val="0"/>
        <w:autoSpaceDN w:val="0"/>
        <w:adjustRightInd w:val="0"/>
        <w:rPr>
          <w:rFonts w:cs="Arial"/>
          <w:color w:val="000000"/>
          <w:szCs w:val="24"/>
          <w:lang w:eastAsia="en-GB"/>
        </w:rPr>
      </w:pPr>
      <w:r w:rsidRPr="00ED1007">
        <w:t xml:space="preserve">The Pension Fund’s Risk Register is reviewed regularly by both the Pension Fund Committee and by the Board. The </w:t>
      </w:r>
      <w:r w:rsidR="0064241B" w:rsidRPr="00ED1007">
        <w:t xml:space="preserve">next review will be considered by the Board at </w:t>
      </w:r>
      <w:r w:rsidR="00260000" w:rsidRPr="00ED1007">
        <w:t>this meeting.</w:t>
      </w:r>
      <w:r w:rsidRPr="00ED1007">
        <w:t xml:space="preserve"> </w:t>
      </w:r>
    </w:p>
    <w:p w14:paraId="42B288D6" w14:textId="77777777" w:rsidR="00F6771C" w:rsidRPr="00ED1007" w:rsidRDefault="00F6771C" w:rsidP="00F6771C">
      <w:pPr>
        <w:autoSpaceDE w:val="0"/>
        <w:autoSpaceDN w:val="0"/>
        <w:adjustRightInd w:val="0"/>
        <w:ind w:left="426"/>
        <w:rPr>
          <w:rFonts w:cs="Arial"/>
          <w:color w:val="000000"/>
          <w:szCs w:val="24"/>
          <w:lang w:eastAsia="en-GB"/>
        </w:rPr>
      </w:pPr>
    </w:p>
    <w:p w14:paraId="0E59B0B9" w14:textId="56384425" w:rsidR="00F6771C" w:rsidRPr="00ED1007" w:rsidRDefault="00F6771C" w:rsidP="00F6771C">
      <w:pPr>
        <w:numPr>
          <w:ilvl w:val="0"/>
          <w:numId w:val="16"/>
        </w:numPr>
        <w:jc w:val="both"/>
      </w:pPr>
      <w:r w:rsidRPr="00ED1007">
        <w:t>There are no specific risk management implications arising from this report. The level of risk to which its investments are exposed is a key component in developing the Fund’s investment strategy</w:t>
      </w:r>
    </w:p>
    <w:p w14:paraId="16855B49" w14:textId="77777777" w:rsidR="00C55540" w:rsidRPr="00ED1007" w:rsidRDefault="00C55540" w:rsidP="00C55540">
      <w:pPr>
        <w:pStyle w:val="Heading2"/>
        <w:keepNext/>
        <w:spacing w:after="240"/>
      </w:pPr>
      <w:r w:rsidRPr="00ED1007">
        <w:t xml:space="preserve">Equalities implications / Public Sector Equality Duty </w:t>
      </w:r>
    </w:p>
    <w:p w14:paraId="150BCE92" w14:textId="54EFFC9B" w:rsidR="00C55540" w:rsidRPr="00ED1007" w:rsidRDefault="00C55540" w:rsidP="00C55540">
      <w:pPr>
        <w:pStyle w:val="ListParagraph"/>
        <w:numPr>
          <w:ilvl w:val="0"/>
          <w:numId w:val="16"/>
        </w:numPr>
        <w:rPr>
          <w:sz w:val="24"/>
          <w:szCs w:val="24"/>
        </w:rPr>
      </w:pPr>
      <w:r w:rsidRPr="00ED1007">
        <w:rPr>
          <w:sz w:val="24"/>
          <w:szCs w:val="24"/>
        </w:rPr>
        <w:t xml:space="preserve">Was an Equality Impact Assessment carried out?  No </w:t>
      </w:r>
    </w:p>
    <w:p w14:paraId="010082B9" w14:textId="77777777" w:rsidR="00C55540" w:rsidRPr="00ED1007" w:rsidRDefault="00C55540" w:rsidP="00C55540">
      <w:pPr>
        <w:rPr>
          <w:szCs w:val="24"/>
        </w:rPr>
      </w:pPr>
    </w:p>
    <w:p w14:paraId="6F845081" w14:textId="32E69A0F" w:rsidR="00C55540" w:rsidRPr="00ED1007" w:rsidRDefault="00C55540" w:rsidP="0036007A">
      <w:pPr>
        <w:numPr>
          <w:ilvl w:val="0"/>
          <w:numId w:val="16"/>
        </w:numPr>
        <w:jc w:val="both"/>
        <w:rPr>
          <w:szCs w:val="24"/>
        </w:rPr>
      </w:pPr>
      <w:r w:rsidRPr="00ED1007">
        <w:rPr>
          <w:szCs w:val="24"/>
        </w:rPr>
        <w:t xml:space="preserve">There are no direct equalities implications arising from this report. </w:t>
      </w:r>
    </w:p>
    <w:p w14:paraId="3EEDC6F2" w14:textId="77777777" w:rsidR="00C55540" w:rsidRPr="00ED1007" w:rsidRDefault="00C55540" w:rsidP="00C55540">
      <w:pPr>
        <w:pStyle w:val="Heading2"/>
        <w:spacing w:after="240"/>
      </w:pPr>
      <w:r w:rsidRPr="00ED1007">
        <w:t>Council Priorities</w:t>
      </w:r>
    </w:p>
    <w:p w14:paraId="270E4104" w14:textId="4E565CAF" w:rsidR="00C55540" w:rsidRPr="00ED1007" w:rsidRDefault="00C55540" w:rsidP="00C55540">
      <w:pPr>
        <w:pStyle w:val="ListParagraph"/>
        <w:numPr>
          <w:ilvl w:val="0"/>
          <w:numId w:val="16"/>
        </w:numPr>
        <w:rPr>
          <w:sz w:val="24"/>
          <w:szCs w:val="24"/>
          <w:lang w:val="en-US"/>
        </w:rPr>
      </w:pPr>
      <w:r w:rsidRPr="00ED1007">
        <w:rPr>
          <w:sz w:val="24"/>
          <w:szCs w:val="24"/>
          <w:lang w:val="en-US"/>
        </w:rPr>
        <w:t xml:space="preserve">The performance of the Pension Fund directly affects the level of employer contribution which then, in turn, affects the resources available for the Council’s priorities. </w:t>
      </w:r>
    </w:p>
    <w:p w14:paraId="11BF41CC" w14:textId="77777777" w:rsidR="002A2389" w:rsidRPr="00ED1007" w:rsidRDefault="002A2389" w:rsidP="00912904">
      <w:pPr>
        <w:pStyle w:val="Heading2"/>
      </w:pPr>
      <w:r w:rsidRPr="00ED1007">
        <w:t>Section 3 - Statutory Officer Clearance</w:t>
      </w:r>
    </w:p>
    <w:p w14:paraId="077143F8" w14:textId="77777777" w:rsidR="002A2389" w:rsidRPr="00ED1007" w:rsidRDefault="002A2389" w:rsidP="008D1750">
      <w:pPr>
        <w:keepNext/>
        <w:rPr>
          <w:rFonts w:cs="Arial"/>
        </w:rPr>
      </w:pPr>
    </w:p>
    <w:p w14:paraId="1F493ADE" w14:textId="24416710" w:rsidR="00912904" w:rsidRPr="00ED1007" w:rsidRDefault="00912904" w:rsidP="00912904">
      <w:pPr>
        <w:rPr>
          <w:sz w:val="28"/>
        </w:rPr>
      </w:pPr>
      <w:r w:rsidRPr="00ED1007">
        <w:rPr>
          <w:b/>
          <w:sz w:val="28"/>
        </w:rPr>
        <w:t xml:space="preserve">Statutory Officer:  </w:t>
      </w:r>
      <w:r w:rsidR="008C156F">
        <w:rPr>
          <w:b/>
          <w:sz w:val="28"/>
        </w:rPr>
        <w:t>Dawn Calvert</w:t>
      </w:r>
    </w:p>
    <w:p w14:paraId="57640BD9" w14:textId="1B3D01B2" w:rsidR="00912904" w:rsidRPr="00ED1007" w:rsidRDefault="00912904" w:rsidP="00912904">
      <w:r w:rsidRPr="00ED1007">
        <w:t>Signed by the Chief Financial Officer</w:t>
      </w:r>
    </w:p>
    <w:p w14:paraId="5745A2E3" w14:textId="41F9050C" w:rsidR="00912904" w:rsidRDefault="00912904" w:rsidP="003F01D0">
      <w:pPr>
        <w:tabs>
          <w:tab w:val="left" w:pos="1520"/>
        </w:tabs>
        <w:spacing w:after="480"/>
        <w:rPr>
          <w:b/>
          <w:sz w:val="28"/>
        </w:rPr>
      </w:pPr>
      <w:r w:rsidRPr="00ED1007">
        <w:rPr>
          <w:b/>
          <w:sz w:val="28"/>
        </w:rPr>
        <w:lastRenderedPageBreak/>
        <w:t xml:space="preserve">Date: </w:t>
      </w:r>
      <w:r w:rsidR="008C156F">
        <w:rPr>
          <w:b/>
          <w:sz w:val="28"/>
        </w:rPr>
        <w:t>21/02/2023</w:t>
      </w:r>
    </w:p>
    <w:p w14:paraId="2586CC50" w14:textId="4FCD5468" w:rsidR="00912904" w:rsidRPr="00ED1007" w:rsidRDefault="00912904" w:rsidP="00912904">
      <w:pPr>
        <w:rPr>
          <w:sz w:val="28"/>
        </w:rPr>
      </w:pPr>
      <w:r w:rsidRPr="00ED1007">
        <w:rPr>
          <w:b/>
          <w:sz w:val="28"/>
        </w:rPr>
        <w:t xml:space="preserve">Statutory Officer:  </w:t>
      </w:r>
      <w:r w:rsidR="00693928">
        <w:rPr>
          <w:b/>
          <w:sz w:val="28"/>
        </w:rPr>
        <w:t>Sharon Clarke</w:t>
      </w:r>
    </w:p>
    <w:p w14:paraId="3F58D77A" w14:textId="16A5F915" w:rsidR="00912904" w:rsidRPr="00ED1007" w:rsidRDefault="00912904" w:rsidP="00912904">
      <w:r w:rsidRPr="00ED1007">
        <w:t>Signed on behalf of the Monitoring Officer</w:t>
      </w:r>
    </w:p>
    <w:p w14:paraId="61F8C7E6" w14:textId="7DC68310" w:rsidR="00912904" w:rsidRPr="00ED1007" w:rsidRDefault="00912904" w:rsidP="005740D4">
      <w:pPr>
        <w:tabs>
          <w:tab w:val="left" w:pos="1550"/>
        </w:tabs>
        <w:spacing w:after="480"/>
        <w:rPr>
          <w:sz w:val="28"/>
        </w:rPr>
      </w:pPr>
      <w:r w:rsidRPr="00ED1007">
        <w:rPr>
          <w:b/>
          <w:sz w:val="28"/>
        </w:rPr>
        <w:t>Date</w:t>
      </w:r>
      <w:r w:rsidR="004D6347" w:rsidRPr="00ED1007">
        <w:rPr>
          <w:b/>
          <w:sz w:val="28"/>
        </w:rPr>
        <w:t xml:space="preserve">: </w:t>
      </w:r>
      <w:r w:rsidR="00693928">
        <w:rPr>
          <w:b/>
          <w:sz w:val="28"/>
        </w:rPr>
        <w:t>14/02/2023</w:t>
      </w:r>
    </w:p>
    <w:p w14:paraId="52D95F67" w14:textId="587E2742" w:rsidR="009F30CC" w:rsidRPr="00ED1007" w:rsidRDefault="004A4A1D" w:rsidP="00912904">
      <w:pPr>
        <w:rPr>
          <w:b/>
          <w:sz w:val="28"/>
        </w:rPr>
      </w:pPr>
      <w:r w:rsidRPr="00ED1007">
        <w:rPr>
          <w:b/>
          <w:sz w:val="28"/>
        </w:rPr>
        <w:t>Chief</w:t>
      </w:r>
      <w:r w:rsidR="00912904" w:rsidRPr="00ED1007">
        <w:rPr>
          <w:b/>
          <w:sz w:val="28"/>
        </w:rPr>
        <w:t xml:space="preserve"> Officer:  </w:t>
      </w:r>
      <w:r w:rsidR="008C156F">
        <w:rPr>
          <w:b/>
          <w:sz w:val="28"/>
        </w:rPr>
        <w:t>Dawn Calvert</w:t>
      </w:r>
    </w:p>
    <w:p w14:paraId="12E4D11B" w14:textId="42A0970E" w:rsidR="00912904" w:rsidRPr="00ED1007" w:rsidRDefault="00365D29" w:rsidP="00912904">
      <w:r w:rsidRPr="00ED1007">
        <w:t>Signed</w:t>
      </w:r>
      <w:r w:rsidR="00912904" w:rsidRPr="00ED1007">
        <w:t xml:space="preserve"> </w:t>
      </w:r>
      <w:r w:rsidR="00581AB1" w:rsidRPr="00ED1007">
        <w:t>on behalf of</w:t>
      </w:r>
      <w:r w:rsidR="00912904" w:rsidRPr="00ED1007">
        <w:t xml:space="preserve"> the </w:t>
      </w:r>
      <w:r w:rsidR="00F03080">
        <w:t>Chief Executive</w:t>
      </w:r>
    </w:p>
    <w:p w14:paraId="21482980" w14:textId="0059EBC2" w:rsidR="00912904" w:rsidRPr="00ED1007" w:rsidRDefault="00912904" w:rsidP="00441D9B">
      <w:pPr>
        <w:tabs>
          <w:tab w:val="left" w:pos="1760"/>
        </w:tabs>
        <w:spacing w:after="480"/>
        <w:rPr>
          <w:sz w:val="28"/>
        </w:rPr>
      </w:pPr>
      <w:r w:rsidRPr="00ED1007">
        <w:rPr>
          <w:b/>
          <w:sz w:val="28"/>
        </w:rPr>
        <w:t xml:space="preserve">Date:  </w:t>
      </w:r>
      <w:r w:rsidR="008C156F">
        <w:rPr>
          <w:b/>
          <w:sz w:val="28"/>
        </w:rPr>
        <w:t>21/02/2023</w:t>
      </w:r>
    </w:p>
    <w:p w14:paraId="686CE5D8" w14:textId="77777777" w:rsidR="00912904" w:rsidRPr="00ED1007" w:rsidRDefault="00912904" w:rsidP="00912904">
      <w:pPr>
        <w:pStyle w:val="Heading2"/>
        <w:spacing w:after="240"/>
      </w:pPr>
      <w:r w:rsidRPr="00ED1007">
        <w:t>Mandatory Checks</w:t>
      </w:r>
    </w:p>
    <w:p w14:paraId="71FBC41D" w14:textId="7581A8CD" w:rsidR="00912904" w:rsidRPr="00ED1007" w:rsidRDefault="00912904" w:rsidP="00C55540">
      <w:pPr>
        <w:pStyle w:val="Heading3"/>
        <w:ind w:left="0" w:firstLine="0"/>
        <w:rPr>
          <w:i/>
          <w:color w:val="FF0000"/>
          <w:szCs w:val="24"/>
        </w:rPr>
      </w:pPr>
      <w:r w:rsidRPr="00ED1007">
        <w:rPr>
          <w:sz w:val="28"/>
        </w:rPr>
        <w:t xml:space="preserve">Ward Councillors notified:  </w:t>
      </w:r>
      <w:r w:rsidRPr="006D4DBB">
        <w:rPr>
          <w:b w:val="0"/>
          <w:bCs w:val="0"/>
          <w:sz w:val="28"/>
        </w:rPr>
        <w:t>N</w:t>
      </w:r>
      <w:r w:rsidR="00F6771C" w:rsidRPr="006D4DBB">
        <w:rPr>
          <w:b w:val="0"/>
          <w:bCs w:val="0"/>
          <w:sz w:val="28"/>
        </w:rPr>
        <w:t>ot Applicable</w:t>
      </w:r>
      <w:r w:rsidRPr="00ED1007">
        <w:rPr>
          <w:i/>
          <w:color w:val="FF0000"/>
          <w:szCs w:val="24"/>
        </w:rPr>
        <w:t xml:space="preserve"> </w:t>
      </w:r>
    </w:p>
    <w:p w14:paraId="629F8205" w14:textId="77777777" w:rsidR="002A2389" w:rsidRPr="00ED1007" w:rsidRDefault="002A2389" w:rsidP="00912904">
      <w:pPr>
        <w:pStyle w:val="Heading2"/>
        <w:keepNext/>
        <w:spacing w:after="240"/>
      </w:pPr>
      <w:r w:rsidRPr="00ED1007">
        <w:t>Section 4 - Contact Details and Background Papers</w:t>
      </w:r>
    </w:p>
    <w:p w14:paraId="373FA8D5" w14:textId="24AB96FD" w:rsidR="00C55540" w:rsidRPr="00ED1007" w:rsidRDefault="002A2389" w:rsidP="00C55540">
      <w:pPr>
        <w:pStyle w:val="Infotext"/>
        <w:rPr>
          <w:sz w:val="24"/>
          <w:szCs w:val="24"/>
        </w:rPr>
      </w:pPr>
      <w:r w:rsidRPr="00ED1007">
        <w:rPr>
          <w:b/>
        </w:rPr>
        <w:t>Contact:</w:t>
      </w:r>
      <w:r w:rsidRPr="00ED1007">
        <w:t xml:space="preserve">  </w:t>
      </w:r>
      <w:r w:rsidR="00C55540" w:rsidRPr="00ED1007">
        <w:rPr>
          <w:sz w:val="24"/>
          <w:szCs w:val="24"/>
        </w:rPr>
        <w:t xml:space="preserve">Jeremy Randall – Interim Pensions </w:t>
      </w:r>
      <w:r w:rsidR="00CE039D" w:rsidRPr="00ED1007">
        <w:rPr>
          <w:sz w:val="24"/>
          <w:szCs w:val="24"/>
        </w:rPr>
        <w:t>Manager</w:t>
      </w:r>
    </w:p>
    <w:p w14:paraId="1C4BF2D4" w14:textId="65CC335C" w:rsidR="002A2389" w:rsidRPr="00ED1007" w:rsidRDefault="00C55540" w:rsidP="00C55540">
      <w:pPr>
        <w:pStyle w:val="Infotext"/>
        <w:rPr>
          <w:rStyle w:val="Hyperlink"/>
          <w:sz w:val="24"/>
          <w:szCs w:val="24"/>
        </w:rPr>
      </w:pPr>
      <w:r w:rsidRPr="00ED1007">
        <w:rPr>
          <w:sz w:val="24"/>
          <w:szCs w:val="24"/>
        </w:rPr>
        <w:t xml:space="preserve">Email: </w:t>
      </w:r>
      <w:hyperlink r:id="rId8" w:history="1">
        <w:r w:rsidRPr="00ED1007">
          <w:rPr>
            <w:rStyle w:val="Hyperlink"/>
            <w:sz w:val="24"/>
            <w:szCs w:val="24"/>
          </w:rPr>
          <w:t>Jeremy.randall@harrow.gov.uk</w:t>
        </w:r>
      </w:hyperlink>
    </w:p>
    <w:p w14:paraId="65DB4D40" w14:textId="2D7010B6" w:rsidR="00CE039D" w:rsidRPr="00ED1007" w:rsidRDefault="00CE039D" w:rsidP="00C55540">
      <w:pPr>
        <w:pStyle w:val="Infotext"/>
      </w:pPr>
      <w:r w:rsidRPr="00ED1007">
        <w:rPr>
          <w:rStyle w:val="Hyperlink"/>
          <w:color w:val="auto"/>
          <w:sz w:val="24"/>
          <w:szCs w:val="24"/>
          <w:u w:val="none"/>
        </w:rPr>
        <w:t>Telephone: 020 8736 6552</w:t>
      </w:r>
    </w:p>
    <w:p w14:paraId="695B009D" w14:textId="1E187BE9" w:rsidR="002A2389" w:rsidRDefault="002A2389" w:rsidP="00C55540">
      <w:pPr>
        <w:pStyle w:val="Infotext"/>
        <w:spacing w:before="360"/>
      </w:pPr>
      <w:r w:rsidRPr="00ED1007">
        <w:rPr>
          <w:b/>
        </w:rPr>
        <w:t>Background Papers</w:t>
      </w:r>
      <w:r w:rsidRPr="00ED1007">
        <w:t xml:space="preserve">:  </w:t>
      </w:r>
      <w:r w:rsidR="00C55540" w:rsidRPr="00ED1007">
        <w:rPr>
          <w:rFonts w:cs="Arial"/>
          <w:sz w:val="24"/>
        </w:rPr>
        <w:t>None</w:t>
      </w:r>
    </w:p>
    <w:sectPr w:rsidR="002A2389" w:rsidSect="00FF71E5">
      <w:type w:val="continuous"/>
      <w:pgSz w:w="11909" w:h="16834" w:code="9"/>
      <w:pgMar w:top="1008" w:right="1800" w:bottom="1152" w:left="1800" w:header="100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4255B" w14:textId="77777777" w:rsidR="00E609EF" w:rsidRDefault="00E609EF">
      <w:r>
        <w:separator/>
      </w:r>
    </w:p>
  </w:endnote>
  <w:endnote w:type="continuationSeparator" w:id="0">
    <w:p w14:paraId="252691D2" w14:textId="77777777" w:rsidR="00E609EF" w:rsidRDefault="00E60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
    <w:altName w:val="Yu Gothic"/>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E0CFA" w14:textId="77777777" w:rsidR="00E609EF" w:rsidRDefault="00E609EF">
      <w:r>
        <w:separator/>
      </w:r>
    </w:p>
  </w:footnote>
  <w:footnote w:type="continuationSeparator" w:id="0">
    <w:p w14:paraId="68D6354C" w14:textId="77777777" w:rsidR="00E609EF" w:rsidRDefault="00E609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E74EB"/>
    <w:multiLevelType w:val="hybridMultilevel"/>
    <w:tmpl w:val="482291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2477F52"/>
    <w:multiLevelType w:val="hybridMultilevel"/>
    <w:tmpl w:val="7F72C69C"/>
    <w:lvl w:ilvl="0" w:tplc="D73C90C0">
      <w:start w:val="1"/>
      <w:numFmt w:val="bullet"/>
      <w:lvlText w:val=""/>
      <w:lvlJc w:val="left"/>
      <w:pPr>
        <w:ind w:left="720" w:hanging="72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0342281C"/>
    <w:multiLevelType w:val="hybridMultilevel"/>
    <w:tmpl w:val="E594004A"/>
    <w:lvl w:ilvl="0" w:tplc="75F6ED5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760AA4"/>
    <w:multiLevelType w:val="hybridMultilevel"/>
    <w:tmpl w:val="CB728E5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4" w15:restartNumberingAfterBreak="0">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D25EED"/>
    <w:multiLevelType w:val="hybridMultilevel"/>
    <w:tmpl w:val="CD20CD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CE0B17"/>
    <w:multiLevelType w:val="hybridMultilevel"/>
    <w:tmpl w:val="9A0C48C8"/>
    <w:lvl w:ilvl="0" w:tplc="2514E29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DC3909"/>
    <w:multiLevelType w:val="hybridMultilevel"/>
    <w:tmpl w:val="A9162E52"/>
    <w:lvl w:ilvl="0" w:tplc="113ECF8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5A36370"/>
    <w:multiLevelType w:val="hybridMultilevel"/>
    <w:tmpl w:val="1D5EF0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12" w15:restartNumberingAfterBreak="0">
    <w:nsid w:val="3FE2074E"/>
    <w:multiLevelType w:val="hybridMultilevel"/>
    <w:tmpl w:val="B45260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FF43A2F"/>
    <w:multiLevelType w:val="hybridMultilevel"/>
    <w:tmpl w:val="50183634"/>
    <w:lvl w:ilvl="0" w:tplc="0809000F">
      <w:start w:val="1"/>
      <w:numFmt w:val="decimal"/>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449E31D5"/>
    <w:multiLevelType w:val="hybridMultilevel"/>
    <w:tmpl w:val="E7AAE6B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4ACE77B3"/>
    <w:multiLevelType w:val="hybridMultilevel"/>
    <w:tmpl w:val="B92ED2E2"/>
    <w:lvl w:ilvl="0" w:tplc="E4E49048">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D32052"/>
    <w:multiLevelType w:val="hybridMultilevel"/>
    <w:tmpl w:val="4C3E49F0"/>
    <w:lvl w:ilvl="0" w:tplc="0809000F">
      <w:start w:val="1"/>
      <w:numFmt w:val="decimal"/>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3028D4"/>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60E02E1"/>
    <w:multiLevelType w:val="hybridMultilevel"/>
    <w:tmpl w:val="8AA2D900"/>
    <w:lvl w:ilvl="0" w:tplc="0944D776">
      <w:start w:val="1"/>
      <w:numFmt w:val="bullet"/>
      <w:lvlText w:val="-"/>
      <w:lvlJc w:val="left"/>
      <w:pPr>
        <w:ind w:left="430" w:hanging="360"/>
      </w:pPr>
      <w:rPr>
        <w:rFonts w:ascii="Arial" w:eastAsia="Times New Roman" w:hAnsi="Arial" w:cs="Arial" w:hint="default"/>
      </w:rPr>
    </w:lvl>
    <w:lvl w:ilvl="1" w:tplc="08090003" w:tentative="1">
      <w:start w:val="1"/>
      <w:numFmt w:val="bullet"/>
      <w:lvlText w:val="o"/>
      <w:lvlJc w:val="left"/>
      <w:pPr>
        <w:ind w:left="1150" w:hanging="360"/>
      </w:pPr>
      <w:rPr>
        <w:rFonts w:ascii="Courier New" w:hAnsi="Courier New" w:cs="Courier New" w:hint="default"/>
      </w:rPr>
    </w:lvl>
    <w:lvl w:ilvl="2" w:tplc="08090005" w:tentative="1">
      <w:start w:val="1"/>
      <w:numFmt w:val="bullet"/>
      <w:lvlText w:val=""/>
      <w:lvlJc w:val="left"/>
      <w:pPr>
        <w:ind w:left="1870" w:hanging="360"/>
      </w:pPr>
      <w:rPr>
        <w:rFonts w:ascii="Wingdings" w:hAnsi="Wingdings" w:hint="default"/>
      </w:rPr>
    </w:lvl>
    <w:lvl w:ilvl="3" w:tplc="08090001" w:tentative="1">
      <w:start w:val="1"/>
      <w:numFmt w:val="bullet"/>
      <w:lvlText w:val=""/>
      <w:lvlJc w:val="left"/>
      <w:pPr>
        <w:ind w:left="2590" w:hanging="360"/>
      </w:pPr>
      <w:rPr>
        <w:rFonts w:ascii="Symbol" w:hAnsi="Symbol" w:hint="default"/>
      </w:rPr>
    </w:lvl>
    <w:lvl w:ilvl="4" w:tplc="08090003" w:tentative="1">
      <w:start w:val="1"/>
      <w:numFmt w:val="bullet"/>
      <w:lvlText w:val="o"/>
      <w:lvlJc w:val="left"/>
      <w:pPr>
        <w:ind w:left="3310" w:hanging="360"/>
      </w:pPr>
      <w:rPr>
        <w:rFonts w:ascii="Courier New" w:hAnsi="Courier New" w:cs="Courier New" w:hint="default"/>
      </w:rPr>
    </w:lvl>
    <w:lvl w:ilvl="5" w:tplc="08090005" w:tentative="1">
      <w:start w:val="1"/>
      <w:numFmt w:val="bullet"/>
      <w:lvlText w:val=""/>
      <w:lvlJc w:val="left"/>
      <w:pPr>
        <w:ind w:left="4030" w:hanging="360"/>
      </w:pPr>
      <w:rPr>
        <w:rFonts w:ascii="Wingdings" w:hAnsi="Wingdings" w:hint="default"/>
      </w:rPr>
    </w:lvl>
    <w:lvl w:ilvl="6" w:tplc="08090001" w:tentative="1">
      <w:start w:val="1"/>
      <w:numFmt w:val="bullet"/>
      <w:lvlText w:val=""/>
      <w:lvlJc w:val="left"/>
      <w:pPr>
        <w:ind w:left="4750" w:hanging="360"/>
      </w:pPr>
      <w:rPr>
        <w:rFonts w:ascii="Symbol" w:hAnsi="Symbol" w:hint="default"/>
      </w:rPr>
    </w:lvl>
    <w:lvl w:ilvl="7" w:tplc="08090003" w:tentative="1">
      <w:start w:val="1"/>
      <w:numFmt w:val="bullet"/>
      <w:lvlText w:val="o"/>
      <w:lvlJc w:val="left"/>
      <w:pPr>
        <w:ind w:left="5470" w:hanging="360"/>
      </w:pPr>
      <w:rPr>
        <w:rFonts w:ascii="Courier New" w:hAnsi="Courier New" w:cs="Courier New" w:hint="default"/>
      </w:rPr>
    </w:lvl>
    <w:lvl w:ilvl="8" w:tplc="08090005" w:tentative="1">
      <w:start w:val="1"/>
      <w:numFmt w:val="bullet"/>
      <w:lvlText w:val=""/>
      <w:lvlJc w:val="left"/>
      <w:pPr>
        <w:ind w:left="6190" w:hanging="360"/>
      </w:pPr>
      <w:rPr>
        <w:rFonts w:ascii="Wingdings" w:hAnsi="Wingdings" w:hint="default"/>
      </w:rPr>
    </w:lvl>
  </w:abstractNum>
  <w:abstractNum w:abstractNumId="22" w15:restartNumberingAfterBreak="0">
    <w:nsid w:val="66ED68B9"/>
    <w:multiLevelType w:val="hybridMultilevel"/>
    <w:tmpl w:val="963C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D53684F"/>
    <w:multiLevelType w:val="hybridMultilevel"/>
    <w:tmpl w:val="7CE27692"/>
    <w:lvl w:ilvl="0" w:tplc="348A0724">
      <w:start w:val="1"/>
      <w:numFmt w:val="decimal"/>
      <w:lvlText w:val="%1."/>
      <w:lvlJc w:val="left"/>
      <w:pPr>
        <w:ind w:left="3621"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1EB079B"/>
    <w:multiLevelType w:val="hybridMultilevel"/>
    <w:tmpl w:val="F552FCD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5" w15:restartNumberingAfterBreak="0">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52642067">
    <w:abstractNumId w:val="22"/>
  </w:num>
  <w:num w:numId="2" w16cid:durableId="657147070">
    <w:abstractNumId w:val="16"/>
  </w:num>
  <w:num w:numId="3" w16cid:durableId="1237394528">
    <w:abstractNumId w:val="20"/>
  </w:num>
  <w:num w:numId="4" w16cid:durableId="845245123">
    <w:abstractNumId w:val="2"/>
  </w:num>
  <w:num w:numId="5" w16cid:durableId="173894057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65592446">
    <w:abstractNumId w:val="9"/>
  </w:num>
  <w:num w:numId="7" w16cid:durableId="762382223">
    <w:abstractNumId w:val="11"/>
  </w:num>
  <w:num w:numId="8" w16cid:durableId="773668312">
    <w:abstractNumId w:val="7"/>
  </w:num>
  <w:num w:numId="9" w16cid:durableId="409935436">
    <w:abstractNumId w:val="5"/>
  </w:num>
  <w:num w:numId="10" w16cid:durableId="1471904615">
    <w:abstractNumId w:val="19"/>
  </w:num>
  <w:num w:numId="11" w16cid:durableId="1516308723">
    <w:abstractNumId w:val="25"/>
  </w:num>
  <w:num w:numId="12" w16cid:durableId="1219516355">
    <w:abstractNumId w:val="17"/>
  </w:num>
  <w:num w:numId="13" w16cid:durableId="844243963">
    <w:abstractNumId w:val="4"/>
  </w:num>
  <w:num w:numId="14" w16cid:durableId="1321303957">
    <w:abstractNumId w:val="8"/>
  </w:num>
  <w:num w:numId="15" w16cid:durableId="1432626657">
    <w:abstractNumId w:val="14"/>
  </w:num>
  <w:num w:numId="16" w16cid:durableId="143397768">
    <w:abstractNumId w:val="13"/>
  </w:num>
  <w:num w:numId="17" w16cid:durableId="1279213550">
    <w:abstractNumId w:val="1"/>
  </w:num>
  <w:num w:numId="18" w16cid:durableId="1740248465">
    <w:abstractNumId w:val="10"/>
  </w:num>
  <w:num w:numId="19" w16cid:durableId="895966625">
    <w:abstractNumId w:val="12"/>
  </w:num>
  <w:num w:numId="20" w16cid:durableId="2000621277">
    <w:abstractNumId w:val="24"/>
  </w:num>
  <w:num w:numId="21" w16cid:durableId="1435858525">
    <w:abstractNumId w:val="18"/>
  </w:num>
  <w:num w:numId="22" w16cid:durableId="116944898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65465457">
    <w:abstractNumId w:val="3"/>
  </w:num>
  <w:num w:numId="24" w16cid:durableId="835807397">
    <w:abstractNumId w:val="23"/>
  </w:num>
  <w:num w:numId="25" w16cid:durableId="702899594">
    <w:abstractNumId w:val="21"/>
  </w:num>
  <w:num w:numId="26" w16cid:durableId="226841784">
    <w:abstractNumId w:val="0"/>
  </w:num>
  <w:num w:numId="27" w16cid:durableId="186215970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134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303"/>
    <w:rsid w:val="00023F4C"/>
    <w:rsid w:val="00034EE1"/>
    <w:rsid w:val="0004706A"/>
    <w:rsid w:val="00057F10"/>
    <w:rsid w:val="000633A2"/>
    <w:rsid w:val="00070F70"/>
    <w:rsid w:val="00071EB4"/>
    <w:rsid w:val="00077298"/>
    <w:rsid w:val="000A58A1"/>
    <w:rsid w:val="000A6659"/>
    <w:rsid w:val="000B0E6F"/>
    <w:rsid w:val="000B6DBB"/>
    <w:rsid w:val="000D22D8"/>
    <w:rsid w:val="000D2BF2"/>
    <w:rsid w:val="000D5870"/>
    <w:rsid w:val="000F65C0"/>
    <w:rsid w:val="00110A2F"/>
    <w:rsid w:val="001167DE"/>
    <w:rsid w:val="00133785"/>
    <w:rsid w:val="00134517"/>
    <w:rsid w:val="00182AA1"/>
    <w:rsid w:val="001939BA"/>
    <w:rsid w:val="001A472C"/>
    <w:rsid w:val="001A6EB0"/>
    <w:rsid w:val="001B441D"/>
    <w:rsid w:val="001C4374"/>
    <w:rsid w:val="001C45FF"/>
    <w:rsid w:val="001C5225"/>
    <w:rsid w:val="001C6F48"/>
    <w:rsid w:val="001E0219"/>
    <w:rsid w:val="001F11E4"/>
    <w:rsid w:val="001F6722"/>
    <w:rsid w:val="00213BE7"/>
    <w:rsid w:val="00231A1D"/>
    <w:rsid w:val="00244120"/>
    <w:rsid w:val="00251F95"/>
    <w:rsid w:val="00260000"/>
    <w:rsid w:val="00266C2C"/>
    <w:rsid w:val="00290AFE"/>
    <w:rsid w:val="00293F9F"/>
    <w:rsid w:val="002A2389"/>
    <w:rsid w:val="002A2C3A"/>
    <w:rsid w:val="002A5BDC"/>
    <w:rsid w:val="002C08E2"/>
    <w:rsid w:val="002C1794"/>
    <w:rsid w:val="002D2FC5"/>
    <w:rsid w:val="002E6637"/>
    <w:rsid w:val="002E77E3"/>
    <w:rsid w:val="002F5EA1"/>
    <w:rsid w:val="003315E4"/>
    <w:rsid w:val="00332947"/>
    <w:rsid w:val="00333EB4"/>
    <w:rsid w:val="00345915"/>
    <w:rsid w:val="0035176F"/>
    <w:rsid w:val="00365D29"/>
    <w:rsid w:val="003706EA"/>
    <w:rsid w:val="00374F22"/>
    <w:rsid w:val="003D2FFE"/>
    <w:rsid w:val="003F01D0"/>
    <w:rsid w:val="00400032"/>
    <w:rsid w:val="0042394B"/>
    <w:rsid w:val="00430337"/>
    <w:rsid w:val="00434D87"/>
    <w:rsid w:val="00441D9B"/>
    <w:rsid w:val="0046775A"/>
    <w:rsid w:val="00473B08"/>
    <w:rsid w:val="00474B5F"/>
    <w:rsid w:val="00481F2C"/>
    <w:rsid w:val="00492043"/>
    <w:rsid w:val="0049221F"/>
    <w:rsid w:val="004A3CE6"/>
    <w:rsid w:val="004A4A1D"/>
    <w:rsid w:val="004B2C9D"/>
    <w:rsid w:val="004B4A47"/>
    <w:rsid w:val="004B5D7B"/>
    <w:rsid w:val="004D6347"/>
    <w:rsid w:val="004E667D"/>
    <w:rsid w:val="004E6AF9"/>
    <w:rsid w:val="005031DF"/>
    <w:rsid w:val="00540AA5"/>
    <w:rsid w:val="00542378"/>
    <w:rsid w:val="0056764D"/>
    <w:rsid w:val="00567D42"/>
    <w:rsid w:val="005740D4"/>
    <w:rsid w:val="00581AB1"/>
    <w:rsid w:val="0059168C"/>
    <w:rsid w:val="00597314"/>
    <w:rsid w:val="005A61AF"/>
    <w:rsid w:val="005C19FD"/>
    <w:rsid w:val="005D0886"/>
    <w:rsid w:val="005E384D"/>
    <w:rsid w:val="005F2181"/>
    <w:rsid w:val="005F724B"/>
    <w:rsid w:val="00601097"/>
    <w:rsid w:val="00625DFF"/>
    <w:rsid w:val="0063072B"/>
    <w:rsid w:val="0064241B"/>
    <w:rsid w:val="00646C65"/>
    <w:rsid w:val="00662891"/>
    <w:rsid w:val="006628B7"/>
    <w:rsid w:val="00675FCB"/>
    <w:rsid w:val="006809C4"/>
    <w:rsid w:val="00693928"/>
    <w:rsid w:val="006B1C6D"/>
    <w:rsid w:val="006B3942"/>
    <w:rsid w:val="006B5B52"/>
    <w:rsid w:val="006C3914"/>
    <w:rsid w:val="006D3648"/>
    <w:rsid w:val="006D4DBB"/>
    <w:rsid w:val="006E25E2"/>
    <w:rsid w:val="006E48DE"/>
    <w:rsid w:val="007227C0"/>
    <w:rsid w:val="0074184E"/>
    <w:rsid w:val="00743829"/>
    <w:rsid w:val="0075166A"/>
    <w:rsid w:val="00751DF2"/>
    <w:rsid w:val="00755F8D"/>
    <w:rsid w:val="00777E2D"/>
    <w:rsid w:val="007900B5"/>
    <w:rsid w:val="00796503"/>
    <w:rsid w:val="007B1B1A"/>
    <w:rsid w:val="007B524B"/>
    <w:rsid w:val="007D2BDA"/>
    <w:rsid w:val="007D56C8"/>
    <w:rsid w:val="007E3934"/>
    <w:rsid w:val="007E7303"/>
    <w:rsid w:val="007F0CF1"/>
    <w:rsid w:val="007F5656"/>
    <w:rsid w:val="008212A0"/>
    <w:rsid w:val="00821C13"/>
    <w:rsid w:val="00837F53"/>
    <w:rsid w:val="00845600"/>
    <w:rsid w:val="008C156F"/>
    <w:rsid w:val="008D1750"/>
    <w:rsid w:val="008D7800"/>
    <w:rsid w:val="008E2910"/>
    <w:rsid w:val="008E4913"/>
    <w:rsid w:val="008E6C0C"/>
    <w:rsid w:val="00900464"/>
    <w:rsid w:val="0090100E"/>
    <w:rsid w:val="00912904"/>
    <w:rsid w:val="00933709"/>
    <w:rsid w:val="0093767E"/>
    <w:rsid w:val="00971250"/>
    <w:rsid w:val="00972A02"/>
    <w:rsid w:val="00976004"/>
    <w:rsid w:val="009824C9"/>
    <w:rsid w:val="0099517C"/>
    <w:rsid w:val="009A0937"/>
    <w:rsid w:val="009A42BE"/>
    <w:rsid w:val="009B2ECD"/>
    <w:rsid w:val="009B7914"/>
    <w:rsid w:val="009D1F7E"/>
    <w:rsid w:val="009F30CC"/>
    <w:rsid w:val="009F430B"/>
    <w:rsid w:val="00A160B2"/>
    <w:rsid w:val="00A34E82"/>
    <w:rsid w:val="00A360D6"/>
    <w:rsid w:val="00A42A08"/>
    <w:rsid w:val="00A5339D"/>
    <w:rsid w:val="00A566E7"/>
    <w:rsid w:val="00A644A0"/>
    <w:rsid w:val="00A940D3"/>
    <w:rsid w:val="00A96FCA"/>
    <w:rsid w:val="00AA4BE8"/>
    <w:rsid w:val="00AB54A5"/>
    <w:rsid w:val="00AC0AAB"/>
    <w:rsid w:val="00AC7BA9"/>
    <w:rsid w:val="00AE19AC"/>
    <w:rsid w:val="00AF03DC"/>
    <w:rsid w:val="00AF5A3E"/>
    <w:rsid w:val="00B0425E"/>
    <w:rsid w:val="00B67880"/>
    <w:rsid w:val="00B900E2"/>
    <w:rsid w:val="00B9118E"/>
    <w:rsid w:val="00BA423E"/>
    <w:rsid w:val="00BD02E1"/>
    <w:rsid w:val="00BD6115"/>
    <w:rsid w:val="00BD684A"/>
    <w:rsid w:val="00BF6C03"/>
    <w:rsid w:val="00C32DAE"/>
    <w:rsid w:val="00C340F4"/>
    <w:rsid w:val="00C34564"/>
    <w:rsid w:val="00C40270"/>
    <w:rsid w:val="00C40E24"/>
    <w:rsid w:val="00C55540"/>
    <w:rsid w:val="00C61B80"/>
    <w:rsid w:val="00C92D9A"/>
    <w:rsid w:val="00C96EF5"/>
    <w:rsid w:val="00CB4353"/>
    <w:rsid w:val="00CE039D"/>
    <w:rsid w:val="00CE4DD2"/>
    <w:rsid w:val="00D25064"/>
    <w:rsid w:val="00D32B51"/>
    <w:rsid w:val="00D34668"/>
    <w:rsid w:val="00D365CC"/>
    <w:rsid w:val="00D3740E"/>
    <w:rsid w:val="00D40335"/>
    <w:rsid w:val="00D40976"/>
    <w:rsid w:val="00D82F57"/>
    <w:rsid w:val="00D841A5"/>
    <w:rsid w:val="00D914D2"/>
    <w:rsid w:val="00DA25DB"/>
    <w:rsid w:val="00DB0791"/>
    <w:rsid w:val="00DC2881"/>
    <w:rsid w:val="00DD4251"/>
    <w:rsid w:val="00DE6259"/>
    <w:rsid w:val="00E020CD"/>
    <w:rsid w:val="00E02B50"/>
    <w:rsid w:val="00E03F11"/>
    <w:rsid w:val="00E06DC8"/>
    <w:rsid w:val="00E220B5"/>
    <w:rsid w:val="00E33D93"/>
    <w:rsid w:val="00E609EF"/>
    <w:rsid w:val="00E8515B"/>
    <w:rsid w:val="00E90AFF"/>
    <w:rsid w:val="00EC05E5"/>
    <w:rsid w:val="00ED1007"/>
    <w:rsid w:val="00EF2F91"/>
    <w:rsid w:val="00F03080"/>
    <w:rsid w:val="00F07757"/>
    <w:rsid w:val="00F1403C"/>
    <w:rsid w:val="00F32687"/>
    <w:rsid w:val="00F33EE3"/>
    <w:rsid w:val="00F4213B"/>
    <w:rsid w:val="00F45A59"/>
    <w:rsid w:val="00F6771C"/>
    <w:rsid w:val="00F77A86"/>
    <w:rsid w:val="00F849ED"/>
    <w:rsid w:val="00F92398"/>
    <w:rsid w:val="00FD31A0"/>
    <w:rsid w:val="00FF6AAD"/>
    <w:rsid w:val="00FF71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4145"/>
    <o:shapelayout v:ext="edit">
      <o:idmap v:ext="edit" data="1"/>
    </o:shapelayout>
  </w:shapeDefaults>
  <w:decimalSymbol w:val="."/>
  <w:listSeparator w:val=","/>
  <w14:docId w14:val="08E5ED5E"/>
  <w15:docId w15:val="{97EBD9F3-8B6F-4FFD-9A97-9F7A61F9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912904"/>
    <w:pPr>
      <w:spacing w:before="0"/>
      <w:outlineLvl w:val="0"/>
    </w:pPr>
    <w:rPr>
      <w:b/>
      <w:sz w:val="36"/>
    </w:rPr>
  </w:style>
  <w:style w:type="paragraph" w:styleId="Heading2">
    <w:name w:val="heading 2"/>
    <w:basedOn w:val="Normal"/>
    <w:next w:val="Normal"/>
    <w:qFormat/>
    <w:rsid w:val="003D2FFE"/>
    <w:pPr>
      <w:spacing w:before="480"/>
      <w:outlineLvl w:val="1"/>
    </w:pPr>
    <w:rPr>
      <w:rFonts w:ascii="Arial Black" w:hAnsi="Arial Black" w:cs="Arial"/>
      <w:bCs/>
      <w:sz w:val="32"/>
      <w:szCs w:val="32"/>
    </w:rPr>
  </w:style>
  <w:style w:type="paragraph" w:styleId="Heading3">
    <w:name w:val="heading 3"/>
    <w:basedOn w:val="Normal"/>
    <w:next w:val="Normal"/>
    <w:qFormat/>
    <w:rsid w:val="00C61B80"/>
    <w:pPr>
      <w:ind w:left="720" w:hanging="720"/>
      <w:jc w:val="both"/>
      <w:outlineLvl w:val="2"/>
    </w:pPr>
    <w:rPr>
      <w:rFonts w:cs="Arial"/>
      <w:b/>
      <w:bCs/>
      <w:szCs w:val="28"/>
    </w:rPr>
  </w:style>
  <w:style w:type="paragraph" w:styleId="Heading4">
    <w:name w:val="heading 4"/>
    <w:basedOn w:val="Normal"/>
    <w:next w:val="Normal"/>
    <w:qFormat/>
    <w:rsid w:val="00C61B80"/>
    <w:pPr>
      <w:keepNext/>
      <w:spacing w:after="240"/>
      <w:outlineLvl w:val="3"/>
    </w:pPr>
    <w:rPr>
      <w:rFonts w:cs="Arial"/>
      <w:b/>
      <w:sz w:val="28"/>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C32DAE"/>
    <w:pPr>
      <w:spacing w:before="100" w:beforeAutospacing="1" w:after="100" w:afterAutospacing="1"/>
    </w:pPr>
    <w:rPr>
      <w:rFonts w:ascii="Times New Roman" w:hAnsi="Times New Roman"/>
      <w:szCs w:val="24"/>
      <w:lang w:val="en-US"/>
    </w:rPr>
  </w:style>
  <w:style w:type="paragraph" w:customStyle="1" w:styleId="CharCharCharCharCharCharCharChar">
    <w:name w:val="Char Char Char Char Char Char Char Char"/>
    <w:basedOn w:val="Normal"/>
    <w:rsid w:val="001E0219"/>
    <w:pPr>
      <w:spacing w:after="160" w:line="240" w:lineRule="exact"/>
    </w:pPr>
    <w:rPr>
      <w:rFonts w:ascii="Tahoma" w:hAnsi="Tahoma"/>
      <w:sz w:val="20"/>
      <w:lang w:eastAsia="en-GB"/>
    </w:rPr>
  </w:style>
  <w:style w:type="paragraph" w:customStyle="1" w:styleId="CharCharCharChar2">
    <w:name w:val="Char Char Char Char2"/>
    <w:basedOn w:val="Normal"/>
    <w:locked/>
    <w:rsid w:val="00332947"/>
    <w:pPr>
      <w:spacing w:after="160" w:line="240" w:lineRule="exact"/>
    </w:pPr>
    <w:rPr>
      <w:rFonts w:ascii="Verdana" w:eastAsia="MS ??" w:hAnsi="Verdana" w:cs="Verdana"/>
      <w:sz w:val="20"/>
      <w:lang w:val="en-US"/>
    </w:rPr>
  </w:style>
  <w:style w:type="character" w:styleId="PageNumber">
    <w:name w:val="page number"/>
    <w:rsid w:val="00213BE7"/>
  </w:style>
  <w:style w:type="paragraph" w:customStyle="1" w:styleId="CharCharCharChar">
    <w:name w:val="Char Char Char Char"/>
    <w:basedOn w:val="Normal"/>
    <w:locked/>
    <w:rsid w:val="00213BE7"/>
    <w:pPr>
      <w:spacing w:after="160" w:line="240" w:lineRule="exact"/>
    </w:pPr>
    <w:rPr>
      <w:rFonts w:ascii="Verdana" w:hAnsi="Verdana"/>
      <w:sz w:val="20"/>
      <w:lang w:val="en-US"/>
    </w:rPr>
  </w:style>
  <w:style w:type="character" w:styleId="Hyperlink">
    <w:name w:val="Hyperlink"/>
    <w:rsid w:val="00213BE7"/>
    <w:rPr>
      <w:color w:val="0000FF"/>
      <w:u w:val="single"/>
    </w:rPr>
  </w:style>
  <w:style w:type="paragraph" w:styleId="ListParagraph">
    <w:name w:val="List Paragraph"/>
    <w:basedOn w:val="Normal"/>
    <w:uiPriority w:val="34"/>
    <w:qFormat/>
    <w:rsid w:val="00213BE7"/>
    <w:pPr>
      <w:ind w:left="720"/>
    </w:pPr>
    <w:rPr>
      <w:rFonts w:eastAsia="Calibri" w:cs="Arial"/>
      <w:color w:val="000000"/>
      <w:sz w:val="22"/>
      <w:szCs w:val="22"/>
      <w:lang w:eastAsia="en-GB"/>
    </w:rPr>
  </w:style>
  <w:style w:type="table" w:customStyle="1" w:styleId="Style1">
    <w:name w:val="Style1"/>
    <w:basedOn w:val="TableNormal"/>
    <w:uiPriority w:val="99"/>
    <w:rsid w:val="00A160B2"/>
    <w:rPr>
      <w:rFonts w:ascii="Arial" w:hAnsi="Arial"/>
      <w:sz w:val="24"/>
    </w:rPr>
    <w:tblPr/>
    <w:tcPr>
      <w:shd w:val="clear" w:color="auto" w:fill="FFFFFF" w:themeFill="background1"/>
    </w:tcPr>
  </w:style>
  <w:style w:type="character" w:styleId="FollowedHyperlink">
    <w:name w:val="FollowedHyperlink"/>
    <w:basedOn w:val="DefaultParagraphFont"/>
    <w:rsid w:val="00912904"/>
    <w:rPr>
      <w:color w:val="800080" w:themeColor="followedHyperlink"/>
      <w:u w:val="single"/>
    </w:rPr>
  </w:style>
  <w:style w:type="character" w:styleId="UnresolvedMention">
    <w:name w:val="Unresolved Mention"/>
    <w:basedOn w:val="DefaultParagraphFont"/>
    <w:uiPriority w:val="99"/>
    <w:semiHidden/>
    <w:unhideWhenUsed/>
    <w:rsid w:val="006B3942"/>
    <w:rPr>
      <w:color w:val="605E5C"/>
      <w:shd w:val="clear" w:color="auto" w:fill="E1DFDD"/>
    </w:rPr>
  </w:style>
  <w:style w:type="table" w:styleId="TableGrid">
    <w:name w:val="Table Grid"/>
    <w:basedOn w:val="TableNormal"/>
    <w:rsid w:val="00751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185850">
      <w:bodyDiv w:val="1"/>
      <w:marLeft w:val="0"/>
      <w:marRight w:val="0"/>
      <w:marTop w:val="0"/>
      <w:marBottom w:val="0"/>
      <w:divBdr>
        <w:top w:val="none" w:sz="0" w:space="0" w:color="auto"/>
        <w:left w:val="none" w:sz="0" w:space="0" w:color="auto"/>
        <w:bottom w:val="none" w:sz="0" w:space="0" w:color="auto"/>
        <w:right w:val="none" w:sz="0" w:space="0" w:color="auto"/>
      </w:divBdr>
    </w:div>
    <w:div w:id="1231575277">
      <w:bodyDiv w:val="1"/>
      <w:marLeft w:val="0"/>
      <w:marRight w:val="0"/>
      <w:marTop w:val="0"/>
      <w:marBottom w:val="0"/>
      <w:divBdr>
        <w:top w:val="none" w:sz="0" w:space="0" w:color="auto"/>
        <w:left w:val="none" w:sz="0" w:space="0" w:color="auto"/>
        <w:bottom w:val="none" w:sz="0" w:space="0" w:color="auto"/>
        <w:right w:val="none" w:sz="0" w:space="0" w:color="auto"/>
      </w:divBdr>
    </w:div>
    <w:div w:id="208394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eremy.randall@harrow.gov.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6</Pages>
  <Words>1534</Words>
  <Characters>8748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Meeting:</vt:lpstr>
    </vt:vector>
  </TitlesOfParts>
  <Company>Harrow Council</Company>
  <LinksUpToDate>false</LinksUpToDate>
  <CharactersWithSpaces>10262</CharactersWithSpaces>
  <SharedDoc>false</SharedDoc>
  <HLinks>
    <vt:vector size="12" baseType="variant">
      <vt:variant>
        <vt:i4>3211339</vt:i4>
      </vt:variant>
      <vt:variant>
        <vt:i4>3</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0</vt:i4>
      </vt:variant>
      <vt:variant>
        <vt:i4>0</vt:i4>
      </vt:variant>
      <vt:variant>
        <vt:i4>5</vt:i4>
      </vt:variant>
      <vt:variant>
        <vt:lpwstr>https://harrowhub.harrow.gov.uk/downloads/file/9714/committee_report_templates_-_implications_guidance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Harrow IT Services</dc:creator>
  <cp:lastModifiedBy>Nikoleta Kemp</cp:lastModifiedBy>
  <cp:revision>14</cp:revision>
  <cp:lastPrinted>2007-07-12T09:53:00Z</cp:lastPrinted>
  <dcterms:created xsi:type="dcterms:W3CDTF">2023-02-09T14:34:00Z</dcterms:created>
  <dcterms:modified xsi:type="dcterms:W3CDTF">2023-02-21T12:05:00Z</dcterms:modified>
</cp:coreProperties>
</file>